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20D94">
      <w:pPr>
        <w:spacing w:line="620" w:lineRule="exact"/>
        <w:jc w:val="center"/>
        <w:rPr>
          <w:rFonts w:hint="eastAsia" w:ascii="方正小标宋简体" w:hAnsi="方正小标宋简体" w:eastAsia="方正小标宋简体" w:cs="方正小标宋简体"/>
          <w:sz w:val="44"/>
          <w:szCs w:val="44"/>
        </w:rPr>
      </w:pPr>
    </w:p>
    <w:p w14:paraId="1D7686D4">
      <w:pPr>
        <w:spacing w:line="620" w:lineRule="exact"/>
        <w:jc w:val="center"/>
        <w:rPr>
          <w:rFonts w:hint="eastAsia" w:ascii="方正小标宋简体" w:hAnsi="方正小标宋简体" w:eastAsia="方正小标宋简体" w:cs="方正小标宋简体"/>
          <w:sz w:val="44"/>
          <w:szCs w:val="44"/>
        </w:rPr>
      </w:pPr>
    </w:p>
    <w:p w14:paraId="40798C42">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山东省社会组织等级评估实施细则</w:t>
      </w:r>
    </w:p>
    <w:p w14:paraId="15FD945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（征求意见稿）</w:t>
      </w:r>
    </w:p>
    <w:p w14:paraId="2B466C57">
      <w:pPr>
        <w:spacing w:before="312" w:beforeLines="100" w:after="312" w:afterLines="100" w:line="620" w:lineRule="exact"/>
        <w:jc w:val="center"/>
        <w:rPr>
          <w:rFonts w:ascii="黑体" w:hAnsi="黑体" w:eastAsia="黑体" w:cs="黑体"/>
          <w:sz w:val="32"/>
          <w:szCs w:val="32"/>
        </w:rPr>
      </w:pPr>
      <w:r>
        <w:rPr>
          <w:rFonts w:hint="eastAsia" w:ascii="黑体" w:hAnsi="黑体" w:eastAsia="黑体" w:cs="黑体"/>
          <w:sz w:val="32"/>
          <w:szCs w:val="32"/>
        </w:rPr>
        <w:t xml:space="preserve">第一章 总 </w:t>
      </w:r>
      <w:r>
        <w:rPr>
          <w:rFonts w:ascii="黑体" w:hAnsi="黑体" w:eastAsia="黑体" w:cs="黑体"/>
          <w:sz w:val="32"/>
          <w:szCs w:val="32"/>
        </w:rPr>
        <w:t xml:space="preserve"> </w:t>
      </w:r>
      <w:r>
        <w:rPr>
          <w:rFonts w:hint="eastAsia" w:ascii="黑体" w:hAnsi="黑体" w:eastAsia="黑体" w:cs="黑体"/>
          <w:sz w:val="32"/>
          <w:szCs w:val="32"/>
        </w:rPr>
        <w:t>则</w:t>
      </w:r>
    </w:p>
    <w:p w14:paraId="727CB6B8">
      <w:pPr>
        <w:spacing w:line="620" w:lineRule="exact"/>
        <w:ind w:firstLine="640" w:firstLineChars="200"/>
        <w:rPr>
          <w:sz w:val="32"/>
          <w:szCs w:val="32"/>
        </w:rPr>
      </w:pPr>
      <w:r>
        <w:rPr>
          <w:rFonts w:hint="eastAsia" w:ascii="黑体" w:hAnsi="黑体" w:eastAsia="黑体"/>
          <w:sz w:val="32"/>
          <w:szCs w:val="32"/>
        </w:rPr>
        <w:t>第一条</w:t>
      </w:r>
      <w:r>
        <w:rPr>
          <w:rFonts w:hint="eastAsia"/>
          <w:sz w:val="32"/>
          <w:szCs w:val="32"/>
        </w:rPr>
        <w:t>　为加强和规范社会组织等级评估工作（以下简称“等级评估”），充分发挥等级评估工作引领和促进社会组织健康有序发展的重要作用，依据</w:t>
      </w:r>
      <w:r>
        <w:rPr>
          <w:rFonts w:hint="eastAsia"/>
          <w:sz w:val="32"/>
          <w:szCs w:val="32"/>
          <w:lang w:eastAsia="zh-CN"/>
        </w:rPr>
        <w:t>民政部公布的</w:t>
      </w:r>
      <w:bookmarkStart w:id="0" w:name="_GoBack"/>
      <w:bookmarkEnd w:id="0"/>
      <w:r>
        <w:rPr>
          <w:rFonts w:hint="eastAsia"/>
          <w:sz w:val="32"/>
          <w:szCs w:val="32"/>
        </w:rPr>
        <w:t>《社会组织评估管理办法》，制定本细则。</w:t>
      </w:r>
    </w:p>
    <w:p w14:paraId="3F410A11">
      <w:pPr>
        <w:spacing w:line="620" w:lineRule="exact"/>
        <w:ind w:firstLine="640" w:firstLineChars="200"/>
        <w:rPr>
          <w:sz w:val="32"/>
          <w:szCs w:val="32"/>
        </w:rPr>
      </w:pPr>
      <w:r>
        <w:rPr>
          <w:rFonts w:hint="eastAsia" w:ascii="黑体" w:hAnsi="黑体" w:eastAsia="黑体"/>
          <w:sz w:val="32"/>
          <w:szCs w:val="32"/>
        </w:rPr>
        <w:t>第二条　</w:t>
      </w:r>
      <w:r>
        <w:rPr>
          <w:rFonts w:hint="eastAsia"/>
          <w:sz w:val="32"/>
          <w:szCs w:val="32"/>
        </w:rPr>
        <w:t>本细则所称等级评估，是指由依法登记的社会组织（社会团体、民办非企业单位、基金会）自愿申请，民政部门组织有关机构依据规定的程序和标准，对社会组织党的建设、基础条件、内部治理、工作绩效、社会评价等进行综合评估，并作出评估等级结论。</w:t>
      </w:r>
    </w:p>
    <w:p w14:paraId="22E0CC07">
      <w:pPr>
        <w:spacing w:line="620" w:lineRule="exact"/>
        <w:ind w:firstLine="640" w:firstLineChars="200"/>
        <w:rPr>
          <w:rFonts w:ascii="黑体" w:hAnsi="黑体" w:eastAsia="黑体"/>
          <w:sz w:val="32"/>
          <w:szCs w:val="32"/>
        </w:rPr>
      </w:pPr>
      <w:r>
        <w:rPr>
          <w:rFonts w:hint="eastAsia" w:ascii="黑体" w:hAnsi="黑体" w:eastAsia="黑体"/>
          <w:sz w:val="32"/>
          <w:szCs w:val="32"/>
        </w:rPr>
        <w:t>第三条　</w:t>
      </w:r>
      <w:r>
        <w:rPr>
          <w:rFonts w:hint="eastAsia"/>
          <w:sz w:val="32"/>
          <w:szCs w:val="32"/>
        </w:rPr>
        <w:t>等级评估应按照“党政主导、部门协同、社会参与、分级负责”的原则组织实施。民政部门应成立专门评估机构（评估委员会），负责开展等级评估工作。具体评估事项可由民政部门有关内设机构或直属单位承担，也可通过政府购买服务委托第三方承担。</w:t>
      </w:r>
    </w:p>
    <w:p w14:paraId="7B563945">
      <w:pPr>
        <w:spacing w:line="620" w:lineRule="exact"/>
        <w:ind w:firstLine="640" w:firstLineChars="200"/>
        <w:rPr>
          <w:sz w:val="32"/>
          <w:szCs w:val="32"/>
        </w:rPr>
      </w:pPr>
      <w:r>
        <w:rPr>
          <w:rFonts w:hint="eastAsia" w:ascii="黑体" w:hAnsi="黑体" w:eastAsia="黑体"/>
          <w:sz w:val="32"/>
          <w:szCs w:val="32"/>
        </w:rPr>
        <w:t>第四条　</w:t>
      </w:r>
      <w:r>
        <w:rPr>
          <w:rFonts w:hint="eastAsia"/>
          <w:sz w:val="32"/>
          <w:szCs w:val="32"/>
        </w:rPr>
        <w:t>社会组织评估等级分为5个等</w:t>
      </w:r>
      <w:r>
        <w:rPr>
          <w:rFonts w:hint="eastAsia"/>
          <w:sz w:val="32"/>
          <w:szCs w:val="32"/>
          <w:lang w:eastAsia="zh-CN"/>
        </w:rPr>
        <w:t>级</w:t>
      </w:r>
      <w:r>
        <w:rPr>
          <w:rFonts w:hint="eastAsia"/>
          <w:sz w:val="32"/>
          <w:szCs w:val="32"/>
        </w:rPr>
        <w:t>，由高至低依次为</w:t>
      </w:r>
      <w:r>
        <w:rPr>
          <w:sz w:val="32"/>
          <w:szCs w:val="32"/>
        </w:rPr>
        <w:t>5</w:t>
      </w:r>
      <w:r>
        <w:rPr>
          <w:rFonts w:hint="eastAsia"/>
          <w:sz w:val="32"/>
          <w:szCs w:val="32"/>
          <w:lang w:val="en-US" w:eastAsia="zh-CN"/>
        </w:rPr>
        <w:t>A</w:t>
      </w:r>
      <w:r>
        <w:rPr>
          <w:rFonts w:hint="eastAsia"/>
          <w:sz w:val="32"/>
          <w:szCs w:val="32"/>
        </w:rPr>
        <w:t>级</w:t>
      </w:r>
      <w:r>
        <w:rPr>
          <w:rFonts w:hint="eastAsia"/>
          <w:sz w:val="32"/>
          <w:szCs w:val="32"/>
          <w:lang w:eastAsia="zh-CN"/>
        </w:rPr>
        <w:t>（</w:t>
      </w:r>
      <w:r>
        <w:rPr>
          <w:rFonts w:hint="eastAsia"/>
          <w:sz w:val="32"/>
          <w:szCs w:val="32"/>
          <w:lang w:val="en-US" w:eastAsia="zh-CN"/>
        </w:rPr>
        <w:t>AAAAA</w:t>
      </w:r>
      <w:r>
        <w:rPr>
          <w:rFonts w:hint="eastAsia"/>
          <w:sz w:val="32"/>
          <w:szCs w:val="32"/>
          <w:lang w:eastAsia="zh-CN"/>
        </w:rPr>
        <w:t>）</w:t>
      </w:r>
      <w:r>
        <w:rPr>
          <w:rFonts w:hint="eastAsia"/>
          <w:sz w:val="32"/>
          <w:szCs w:val="32"/>
        </w:rPr>
        <w:t>、</w:t>
      </w:r>
      <w:r>
        <w:rPr>
          <w:sz w:val="32"/>
          <w:szCs w:val="32"/>
        </w:rPr>
        <w:t>4</w:t>
      </w:r>
      <w:r>
        <w:rPr>
          <w:rFonts w:hint="eastAsia"/>
          <w:sz w:val="32"/>
          <w:szCs w:val="32"/>
          <w:lang w:val="en-US" w:eastAsia="zh-CN"/>
        </w:rPr>
        <w:t>A</w:t>
      </w:r>
      <w:r>
        <w:rPr>
          <w:rFonts w:hint="eastAsia"/>
          <w:sz w:val="32"/>
          <w:szCs w:val="32"/>
        </w:rPr>
        <w:t>级</w:t>
      </w:r>
      <w:r>
        <w:rPr>
          <w:rFonts w:hint="eastAsia"/>
          <w:sz w:val="32"/>
          <w:szCs w:val="32"/>
          <w:lang w:eastAsia="zh-CN"/>
        </w:rPr>
        <w:t>（</w:t>
      </w:r>
      <w:r>
        <w:rPr>
          <w:rFonts w:hint="eastAsia"/>
          <w:sz w:val="32"/>
          <w:szCs w:val="32"/>
          <w:lang w:val="en-US" w:eastAsia="zh-CN"/>
        </w:rPr>
        <w:t>AAAA</w:t>
      </w:r>
      <w:r>
        <w:rPr>
          <w:rFonts w:hint="eastAsia"/>
          <w:sz w:val="32"/>
          <w:szCs w:val="32"/>
          <w:lang w:eastAsia="zh-CN"/>
        </w:rPr>
        <w:t>）</w:t>
      </w:r>
      <w:r>
        <w:rPr>
          <w:rFonts w:hint="eastAsia"/>
          <w:sz w:val="32"/>
          <w:szCs w:val="32"/>
        </w:rPr>
        <w:t>、</w:t>
      </w:r>
      <w:r>
        <w:rPr>
          <w:sz w:val="32"/>
          <w:szCs w:val="32"/>
        </w:rPr>
        <w:t>3</w:t>
      </w:r>
      <w:r>
        <w:rPr>
          <w:rFonts w:hint="eastAsia"/>
          <w:sz w:val="32"/>
          <w:szCs w:val="32"/>
          <w:lang w:val="en-US" w:eastAsia="zh-CN"/>
        </w:rPr>
        <w:t>A</w:t>
      </w:r>
      <w:r>
        <w:rPr>
          <w:rFonts w:hint="eastAsia"/>
          <w:sz w:val="32"/>
          <w:szCs w:val="32"/>
        </w:rPr>
        <w:t>级</w:t>
      </w:r>
      <w:r>
        <w:rPr>
          <w:rFonts w:hint="eastAsia"/>
          <w:sz w:val="32"/>
          <w:szCs w:val="32"/>
          <w:lang w:eastAsia="zh-CN"/>
        </w:rPr>
        <w:t>（</w:t>
      </w:r>
      <w:r>
        <w:rPr>
          <w:rFonts w:hint="eastAsia"/>
          <w:sz w:val="32"/>
          <w:szCs w:val="32"/>
          <w:lang w:val="en-US" w:eastAsia="zh-CN"/>
        </w:rPr>
        <w:t>AAA</w:t>
      </w:r>
      <w:r>
        <w:rPr>
          <w:rFonts w:hint="eastAsia"/>
          <w:sz w:val="32"/>
          <w:szCs w:val="32"/>
          <w:lang w:eastAsia="zh-CN"/>
        </w:rPr>
        <w:t>）</w:t>
      </w:r>
      <w:r>
        <w:rPr>
          <w:rFonts w:hint="eastAsia"/>
          <w:sz w:val="32"/>
          <w:szCs w:val="32"/>
        </w:rPr>
        <w:t>、</w:t>
      </w:r>
      <w:r>
        <w:rPr>
          <w:sz w:val="32"/>
          <w:szCs w:val="32"/>
        </w:rPr>
        <w:t>2</w:t>
      </w:r>
      <w:r>
        <w:rPr>
          <w:rFonts w:hint="eastAsia"/>
          <w:sz w:val="32"/>
          <w:szCs w:val="32"/>
          <w:lang w:val="en-US" w:eastAsia="zh-CN"/>
        </w:rPr>
        <w:t>A</w:t>
      </w:r>
      <w:r>
        <w:rPr>
          <w:rFonts w:hint="eastAsia"/>
          <w:sz w:val="32"/>
          <w:szCs w:val="32"/>
        </w:rPr>
        <w:t>级</w:t>
      </w:r>
      <w:r>
        <w:rPr>
          <w:rFonts w:hint="eastAsia"/>
          <w:sz w:val="32"/>
          <w:szCs w:val="32"/>
          <w:lang w:eastAsia="zh-CN"/>
        </w:rPr>
        <w:t>（</w:t>
      </w:r>
      <w:r>
        <w:rPr>
          <w:rFonts w:hint="eastAsia"/>
          <w:sz w:val="32"/>
          <w:szCs w:val="32"/>
          <w:lang w:val="en-US" w:eastAsia="zh-CN"/>
        </w:rPr>
        <w:t>AA</w:t>
      </w:r>
      <w:r>
        <w:rPr>
          <w:rFonts w:hint="eastAsia"/>
          <w:sz w:val="32"/>
          <w:szCs w:val="32"/>
          <w:lang w:eastAsia="zh-CN"/>
        </w:rPr>
        <w:t>）</w:t>
      </w:r>
      <w:r>
        <w:rPr>
          <w:rFonts w:hint="eastAsia"/>
          <w:sz w:val="32"/>
          <w:szCs w:val="32"/>
        </w:rPr>
        <w:t>、</w:t>
      </w:r>
      <w:r>
        <w:rPr>
          <w:sz w:val="32"/>
          <w:szCs w:val="32"/>
        </w:rPr>
        <w:t>1</w:t>
      </w:r>
      <w:r>
        <w:rPr>
          <w:rFonts w:hint="eastAsia"/>
          <w:sz w:val="32"/>
          <w:szCs w:val="32"/>
          <w:lang w:val="en-US" w:eastAsia="zh-CN"/>
        </w:rPr>
        <w:t>A</w:t>
      </w:r>
      <w:r>
        <w:rPr>
          <w:rFonts w:hint="eastAsia"/>
          <w:sz w:val="32"/>
          <w:szCs w:val="32"/>
        </w:rPr>
        <w:t>级</w:t>
      </w:r>
      <w:r>
        <w:rPr>
          <w:rFonts w:hint="eastAsia"/>
          <w:sz w:val="32"/>
          <w:szCs w:val="32"/>
          <w:lang w:val="en-US" w:eastAsia="zh-CN"/>
        </w:rPr>
        <w:t>（A）</w:t>
      </w:r>
      <w:r>
        <w:rPr>
          <w:rFonts w:hint="eastAsia"/>
          <w:sz w:val="32"/>
          <w:szCs w:val="32"/>
        </w:rPr>
        <w:t>。评估等级有效期为5年，从民政部门发布评估结果公告的次年1月1日起计算，延续至第5年的12月31日终止。</w:t>
      </w:r>
    </w:p>
    <w:p w14:paraId="1E1DCF40">
      <w:pPr>
        <w:spacing w:before="156" w:beforeLines="50" w:after="156" w:afterLines="50" w:line="620" w:lineRule="exact"/>
        <w:jc w:val="center"/>
        <w:rPr>
          <w:rFonts w:ascii="黑体" w:hAnsi="黑体" w:eastAsia="黑体" w:cs="黑体"/>
          <w:sz w:val="32"/>
          <w:szCs w:val="32"/>
        </w:rPr>
      </w:pPr>
      <w:r>
        <w:rPr>
          <w:rFonts w:hint="eastAsia" w:ascii="黑体" w:hAnsi="黑体" w:eastAsia="黑体" w:cs="黑体"/>
          <w:sz w:val="32"/>
          <w:szCs w:val="32"/>
        </w:rPr>
        <w:t>第二章 评估指标</w:t>
      </w:r>
    </w:p>
    <w:p w14:paraId="4B9310EE">
      <w:pPr>
        <w:spacing w:line="620" w:lineRule="exact"/>
        <w:ind w:firstLine="640" w:firstLineChars="200"/>
        <w:rPr>
          <w:sz w:val="32"/>
          <w:szCs w:val="32"/>
        </w:rPr>
      </w:pPr>
      <w:r>
        <w:rPr>
          <w:rFonts w:hint="eastAsia" w:ascii="黑体" w:hAnsi="黑体" w:eastAsia="黑体"/>
          <w:sz w:val="32"/>
          <w:szCs w:val="32"/>
        </w:rPr>
        <w:t>第五条　</w:t>
      </w:r>
      <w:r>
        <w:rPr>
          <w:rFonts w:hint="eastAsia"/>
          <w:sz w:val="32"/>
          <w:szCs w:val="32"/>
        </w:rPr>
        <w:t>等级评估指标由社会组织党的建设、基础条件、内部治理、工作绩效、社会评价等五部分组成。总分为1</w:t>
      </w:r>
      <w:r>
        <w:rPr>
          <w:sz w:val="32"/>
          <w:szCs w:val="32"/>
        </w:rPr>
        <w:t>00</w:t>
      </w:r>
      <w:r>
        <w:rPr>
          <w:rFonts w:hint="eastAsia"/>
          <w:sz w:val="32"/>
          <w:szCs w:val="32"/>
        </w:rPr>
        <w:t>分，其中党的建设3</w:t>
      </w:r>
      <w:r>
        <w:rPr>
          <w:sz w:val="32"/>
          <w:szCs w:val="32"/>
        </w:rPr>
        <w:t>0</w:t>
      </w:r>
      <w:r>
        <w:rPr>
          <w:rFonts w:hint="eastAsia"/>
          <w:sz w:val="32"/>
          <w:szCs w:val="32"/>
        </w:rPr>
        <w:t>分、基础条件</w:t>
      </w:r>
      <w:r>
        <w:rPr>
          <w:sz w:val="32"/>
          <w:szCs w:val="32"/>
        </w:rPr>
        <w:t>10</w:t>
      </w:r>
      <w:r>
        <w:rPr>
          <w:rFonts w:hint="eastAsia"/>
          <w:sz w:val="32"/>
          <w:szCs w:val="32"/>
        </w:rPr>
        <w:t>分、内部治理2</w:t>
      </w:r>
      <w:r>
        <w:rPr>
          <w:rFonts w:hint="eastAsia"/>
          <w:sz w:val="32"/>
          <w:szCs w:val="32"/>
          <w:lang w:val="en-US" w:eastAsia="zh-CN"/>
        </w:rPr>
        <w:t>5</w:t>
      </w:r>
      <w:r>
        <w:rPr>
          <w:rFonts w:hint="eastAsia"/>
          <w:sz w:val="32"/>
          <w:szCs w:val="32"/>
        </w:rPr>
        <w:t>分、工作绩效2</w:t>
      </w:r>
      <w:r>
        <w:rPr>
          <w:rFonts w:hint="eastAsia"/>
          <w:sz w:val="32"/>
          <w:szCs w:val="32"/>
          <w:lang w:val="en-US" w:eastAsia="zh-CN"/>
        </w:rPr>
        <w:t>5</w:t>
      </w:r>
      <w:r>
        <w:rPr>
          <w:rFonts w:hint="eastAsia"/>
          <w:sz w:val="32"/>
          <w:szCs w:val="32"/>
        </w:rPr>
        <w:t>分、社会评价1</w:t>
      </w:r>
      <w:r>
        <w:rPr>
          <w:sz w:val="32"/>
          <w:szCs w:val="32"/>
        </w:rPr>
        <w:t>0</w:t>
      </w:r>
      <w:r>
        <w:rPr>
          <w:rFonts w:hint="eastAsia"/>
          <w:sz w:val="32"/>
          <w:szCs w:val="32"/>
        </w:rPr>
        <w:t>分。</w:t>
      </w:r>
    </w:p>
    <w:p w14:paraId="6B53F88D">
      <w:pPr>
        <w:spacing w:line="620" w:lineRule="exact"/>
        <w:ind w:firstLine="640" w:firstLineChars="200"/>
        <w:rPr>
          <w:sz w:val="32"/>
          <w:szCs w:val="32"/>
        </w:rPr>
      </w:pPr>
      <w:r>
        <w:rPr>
          <w:rFonts w:hint="eastAsia" w:ascii="黑体" w:hAnsi="黑体" w:eastAsia="黑体"/>
          <w:sz w:val="32"/>
          <w:szCs w:val="32"/>
        </w:rPr>
        <w:t>第六条　</w:t>
      </w:r>
      <w:r>
        <w:rPr>
          <w:rFonts w:hint="eastAsia"/>
          <w:sz w:val="32"/>
          <w:szCs w:val="32"/>
        </w:rPr>
        <w:t>党的建设评估指标包括：社会组织将党的建设和社会主义核心价值观写入章程、党的组织和党的工作“两个覆盖”、党的创新理论武装、党内重大学习教育及党组织参与社会组织决策、落实意识形态工作责任制、党组织按期换届、落实基层党组织组织生活制度、党员日常教育管理、参加党务工作培训、党建活动场所和经费保障，</w:t>
      </w:r>
      <w:r>
        <w:rPr>
          <w:rFonts w:hint="eastAsia"/>
          <w:sz w:val="32"/>
          <w:szCs w:val="32"/>
          <w:lang w:eastAsia="zh-CN"/>
        </w:rPr>
        <w:t>以及</w:t>
      </w:r>
      <w:r>
        <w:rPr>
          <w:rFonts w:hint="eastAsia"/>
          <w:sz w:val="32"/>
          <w:szCs w:val="32"/>
        </w:rPr>
        <w:t>社会团体带动会员单位抓党建等内容。</w:t>
      </w:r>
    </w:p>
    <w:p w14:paraId="338F32C7">
      <w:pPr>
        <w:spacing w:line="620" w:lineRule="exact"/>
        <w:ind w:firstLine="640" w:firstLineChars="200"/>
        <w:rPr>
          <w:sz w:val="32"/>
          <w:szCs w:val="32"/>
        </w:rPr>
      </w:pPr>
      <w:r>
        <w:rPr>
          <w:rFonts w:hint="eastAsia" w:ascii="黑体" w:hAnsi="黑体" w:eastAsia="黑体"/>
          <w:sz w:val="32"/>
          <w:szCs w:val="32"/>
        </w:rPr>
        <w:t>第七条　</w:t>
      </w:r>
      <w:r>
        <w:rPr>
          <w:rFonts w:hint="eastAsia"/>
          <w:sz w:val="32"/>
          <w:szCs w:val="32"/>
        </w:rPr>
        <w:t>基础条件评估指标包括：社会组织注册资金（开办资金、原始基金）来源的合法性、依法产生法定代表人、办公场所及人员配备、章程制（修）</w:t>
      </w:r>
      <w:r>
        <w:rPr>
          <w:rFonts w:hint="eastAsia"/>
          <w:sz w:val="32"/>
          <w:szCs w:val="32"/>
          <w:lang w:eastAsia="zh-CN"/>
        </w:rPr>
        <w:t>订</w:t>
      </w:r>
      <w:r>
        <w:rPr>
          <w:rFonts w:hint="eastAsia"/>
          <w:sz w:val="32"/>
          <w:szCs w:val="32"/>
        </w:rPr>
        <w:t>与核准、登记事项依法履行变更（备案）手续等内容。</w:t>
      </w:r>
    </w:p>
    <w:p w14:paraId="5ADDC11F">
      <w:pPr>
        <w:spacing w:line="620" w:lineRule="exact"/>
        <w:ind w:firstLine="640" w:firstLineChars="200"/>
        <w:rPr>
          <w:sz w:val="32"/>
          <w:szCs w:val="32"/>
        </w:rPr>
      </w:pPr>
      <w:r>
        <w:rPr>
          <w:rFonts w:hint="eastAsia" w:ascii="黑体" w:hAnsi="黑体" w:eastAsia="黑体"/>
          <w:sz w:val="32"/>
          <w:szCs w:val="32"/>
        </w:rPr>
        <w:t>第八条　</w:t>
      </w:r>
      <w:r>
        <w:rPr>
          <w:rFonts w:hint="eastAsia"/>
          <w:sz w:val="32"/>
          <w:szCs w:val="32"/>
        </w:rPr>
        <w:t>内部治理评估指标包括：社会组织机构设置和运行管理、</w:t>
      </w:r>
      <w:r>
        <w:rPr>
          <w:rFonts w:hint="eastAsia" w:cs="仿宋_GB2312"/>
          <w:sz w:val="32"/>
          <w:szCs w:val="32"/>
        </w:rPr>
        <w:t>按章程规定换届、</w:t>
      </w:r>
      <w:r>
        <w:rPr>
          <w:rFonts w:hint="eastAsia"/>
          <w:sz w:val="32"/>
          <w:szCs w:val="32"/>
        </w:rPr>
        <w:t>民主决策议事；负责人职数配备、任职履职述职和退出、名誉职务设置和管理、党政领导干部兼职管理；内部管理（会费、人事、资产、财务、证书、印章、档案、信息公开</w:t>
      </w:r>
      <w:r>
        <w:rPr>
          <w:rFonts w:hint="eastAsia"/>
          <w:sz w:val="32"/>
          <w:szCs w:val="32"/>
          <w:lang w:eastAsia="zh-CN"/>
        </w:rPr>
        <w:t>等</w:t>
      </w:r>
      <w:r>
        <w:rPr>
          <w:rFonts w:hint="eastAsia"/>
          <w:sz w:val="32"/>
          <w:szCs w:val="32"/>
        </w:rPr>
        <w:t>）、矛盾纠纷化解；业务活动开展（</w:t>
      </w:r>
      <w:r>
        <w:rPr>
          <w:rFonts w:cs="仿宋_GB2312"/>
          <w:sz w:val="32"/>
          <w:szCs w:val="32"/>
        </w:rPr>
        <w:t>遵守法律</w:t>
      </w:r>
      <w:r>
        <w:rPr>
          <w:rFonts w:hint="eastAsia" w:cs="仿宋_GB2312"/>
          <w:sz w:val="32"/>
          <w:szCs w:val="32"/>
        </w:rPr>
        <w:t>法规、重大事项报告、节庆展会论坛、评比达标表彰、募捐和接受捐赠</w:t>
      </w:r>
      <w:r>
        <w:rPr>
          <w:rFonts w:hint="eastAsia" w:cs="仿宋_GB2312"/>
          <w:sz w:val="32"/>
          <w:szCs w:val="32"/>
          <w:lang w:eastAsia="zh-CN"/>
        </w:rPr>
        <w:t>等</w:t>
      </w:r>
      <w:r>
        <w:rPr>
          <w:rFonts w:hint="eastAsia"/>
          <w:sz w:val="32"/>
          <w:szCs w:val="32"/>
        </w:rPr>
        <w:t>）等内容。</w:t>
      </w:r>
    </w:p>
    <w:p w14:paraId="132AC573">
      <w:pPr>
        <w:spacing w:line="620" w:lineRule="exact"/>
        <w:ind w:firstLine="640" w:firstLineChars="200"/>
        <w:rPr>
          <w:rFonts w:cs="仿宋_GB2312"/>
          <w:sz w:val="32"/>
          <w:szCs w:val="32"/>
        </w:rPr>
      </w:pPr>
      <w:r>
        <w:rPr>
          <w:rFonts w:hint="eastAsia" w:ascii="黑体" w:hAnsi="黑体" w:eastAsia="黑体"/>
          <w:sz w:val="32"/>
          <w:szCs w:val="32"/>
        </w:rPr>
        <w:t>第九条　</w:t>
      </w:r>
      <w:r>
        <w:rPr>
          <w:rFonts w:hint="eastAsia"/>
          <w:sz w:val="32"/>
          <w:szCs w:val="32"/>
        </w:rPr>
        <w:t>工作绩效评估指标包括：社会组织参与打造乡村振兴齐鲁样板、积极</w:t>
      </w:r>
      <w:r>
        <w:rPr>
          <w:rFonts w:hint="eastAsia" w:cs="仿宋_GB2312"/>
          <w:sz w:val="32"/>
          <w:szCs w:val="32"/>
        </w:rPr>
        <w:t>应对人口老龄化、黄河流域生态保护和高质量发展、基层社会治理、保障和改善民生，服务国防建设、参与河湖保护、助力高校毕业生就业，开展公益和慈善服务</w:t>
      </w:r>
      <w:r>
        <w:rPr>
          <w:rFonts w:hint="eastAsia" w:cs="仿宋_GB2312"/>
          <w:sz w:val="32"/>
          <w:szCs w:val="32"/>
          <w:lang w:eastAsia="zh-CN"/>
        </w:rPr>
        <w:t>等</w:t>
      </w:r>
      <w:r>
        <w:rPr>
          <w:rFonts w:hint="eastAsia" w:cs="仿宋_GB2312"/>
          <w:sz w:val="32"/>
          <w:szCs w:val="32"/>
        </w:rPr>
        <w:t>；开展行业调查统计、提供行业咨询、制定团体标准、参与制定行业政策规划、开展国内国际交流、引领行业发展等；制定行约行规、反映行业诉求、维护行业利益、调解行业纠纷等</w:t>
      </w:r>
      <w:r>
        <w:rPr>
          <w:rFonts w:hint="eastAsia" w:cs="仿宋_GB2312"/>
          <w:sz w:val="32"/>
          <w:szCs w:val="32"/>
          <w:lang w:eastAsia="zh-CN"/>
        </w:rPr>
        <w:t>内容</w:t>
      </w:r>
      <w:r>
        <w:rPr>
          <w:rFonts w:hint="eastAsia" w:cs="仿宋_GB2312"/>
          <w:sz w:val="32"/>
          <w:szCs w:val="32"/>
        </w:rPr>
        <w:t>。</w:t>
      </w:r>
    </w:p>
    <w:p w14:paraId="6CF404DC">
      <w:pPr>
        <w:spacing w:line="620" w:lineRule="exact"/>
        <w:ind w:firstLine="640" w:firstLineChars="200"/>
        <w:rPr>
          <w:rFonts w:cs="仿宋_GB2312"/>
          <w:sz w:val="32"/>
          <w:szCs w:val="32"/>
        </w:rPr>
      </w:pPr>
      <w:r>
        <w:rPr>
          <w:rFonts w:hint="eastAsia" w:ascii="黑体" w:hAnsi="黑体" w:eastAsia="黑体"/>
          <w:sz w:val="32"/>
          <w:szCs w:val="32"/>
        </w:rPr>
        <w:t>第十条　</w:t>
      </w:r>
      <w:r>
        <w:rPr>
          <w:rFonts w:hint="eastAsia" w:cs="仿宋_GB2312"/>
          <w:sz w:val="32"/>
          <w:szCs w:val="32"/>
        </w:rPr>
        <w:t>社会评价评估指标，主要对社会组织表彰奖励、遵纪守法、社会形象等情况进行综合评价。受表彰奖励情况，由社会组织自行提供，党建工作机构、业务主管单位和行业管理部门依据各自职责进行认定和评价</w:t>
      </w:r>
      <w:r>
        <w:rPr>
          <w:rFonts w:hint="eastAsia" w:cs="仿宋_GB2312"/>
          <w:sz w:val="32"/>
          <w:szCs w:val="32"/>
          <w:lang w:eastAsia="zh-CN"/>
        </w:rPr>
        <w:t>；</w:t>
      </w:r>
      <w:r>
        <w:rPr>
          <w:rFonts w:hint="eastAsia" w:cs="仿宋_GB2312"/>
          <w:sz w:val="32"/>
          <w:szCs w:val="32"/>
        </w:rPr>
        <w:t>行政处罚情况，由登记管理机关会同有关部门认定和评价</w:t>
      </w:r>
      <w:r>
        <w:rPr>
          <w:rFonts w:hint="eastAsia" w:cs="仿宋_GB2312"/>
          <w:sz w:val="32"/>
          <w:szCs w:val="32"/>
          <w:lang w:eastAsia="zh-CN"/>
        </w:rPr>
        <w:t>；</w:t>
      </w:r>
      <w:r>
        <w:rPr>
          <w:rFonts w:hint="eastAsia" w:cs="仿宋_GB2312"/>
          <w:sz w:val="32"/>
          <w:szCs w:val="32"/>
        </w:rPr>
        <w:t>社会形象情况，通过委托第三方专业机构舆情检测、民意测评和会员（单位）问卷调查等方式进行评价。</w:t>
      </w:r>
    </w:p>
    <w:p w14:paraId="30030890">
      <w:pPr>
        <w:spacing w:line="620" w:lineRule="exact"/>
        <w:ind w:firstLine="640" w:firstLineChars="200"/>
        <w:rPr>
          <w:rFonts w:cs="仿宋_GB2312"/>
          <w:sz w:val="32"/>
          <w:szCs w:val="32"/>
        </w:rPr>
      </w:pPr>
      <w:r>
        <w:rPr>
          <w:rFonts w:hint="eastAsia" w:ascii="黑体" w:hAnsi="黑体" w:eastAsia="黑体"/>
          <w:sz w:val="32"/>
          <w:szCs w:val="32"/>
        </w:rPr>
        <w:t>第十一条　</w:t>
      </w:r>
      <w:r>
        <w:rPr>
          <w:rFonts w:hint="eastAsia" w:cs="仿宋_GB2312"/>
          <w:sz w:val="32"/>
          <w:szCs w:val="32"/>
        </w:rPr>
        <w:t>民政部门应结合实际，对第</w:t>
      </w:r>
      <w:r>
        <w:rPr>
          <w:rFonts w:hint="eastAsia" w:cs="仿宋_GB2312"/>
          <w:sz w:val="32"/>
          <w:szCs w:val="32"/>
          <w:lang w:eastAsia="zh-CN"/>
        </w:rPr>
        <w:t>六</w:t>
      </w:r>
      <w:r>
        <w:rPr>
          <w:rFonts w:hint="eastAsia" w:cs="仿宋_GB2312"/>
          <w:sz w:val="32"/>
          <w:szCs w:val="32"/>
        </w:rPr>
        <w:t>条至第十条规定的评估内容，制定具体评分标准。也可根据社会组织管理工作需要，充实评估内容。</w:t>
      </w:r>
    </w:p>
    <w:p w14:paraId="333FAAE9">
      <w:pPr>
        <w:spacing w:before="156" w:beforeLines="50" w:after="156" w:afterLines="50" w:line="620" w:lineRule="exact"/>
        <w:jc w:val="center"/>
        <w:rPr>
          <w:rFonts w:ascii="黑体" w:hAnsi="黑体" w:eastAsia="黑体"/>
          <w:sz w:val="32"/>
          <w:szCs w:val="32"/>
        </w:rPr>
      </w:pPr>
      <w:r>
        <w:rPr>
          <w:rFonts w:hint="eastAsia" w:ascii="黑体" w:hAnsi="黑体" w:eastAsia="黑体" w:cs="黑体"/>
          <w:sz w:val="32"/>
          <w:szCs w:val="32"/>
        </w:rPr>
        <w:t>第三章 评估机构</w:t>
      </w:r>
    </w:p>
    <w:p w14:paraId="4A4B0533">
      <w:pPr>
        <w:spacing w:line="620" w:lineRule="exact"/>
        <w:ind w:firstLine="640" w:firstLineChars="200"/>
        <w:rPr>
          <w:sz w:val="32"/>
          <w:szCs w:val="32"/>
        </w:rPr>
      </w:pPr>
      <w:r>
        <w:rPr>
          <w:rFonts w:hint="eastAsia" w:ascii="黑体" w:hAnsi="黑体" w:eastAsia="黑体"/>
          <w:sz w:val="32"/>
          <w:szCs w:val="32"/>
        </w:rPr>
        <w:t>第十二条　</w:t>
      </w:r>
      <w:r>
        <w:rPr>
          <w:rFonts w:hint="eastAsia"/>
          <w:sz w:val="32"/>
          <w:szCs w:val="32"/>
        </w:rPr>
        <w:t>民政部门应成立评估委员会。委员会由1</w:t>
      </w:r>
      <w:r>
        <w:rPr>
          <w:sz w:val="32"/>
          <w:szCs w:val="32"/>
        </w:rPr>
        <w:t>1</w:t>
      </w:r>
      <w:r>
        <w:rPr>
          <w:rFonts w:hint="eastAsia"/>
          <w:sz w:val="32"/>
          <w:szCs w:val="32"/>
        </w:rPr>
        <w:t>至2</w:t>
      </w:r>
      <w:r>
        <w:rPr>
          <w:sz w:val="32"/>
          <w:szCs w:val="32"/>
        </w:rPr>
        <w:t>1</w:t>
      </w:r>
      <w:r>
        <w:rPr>
          <w:rFonts w:hint="eastAsia"/>
          <w:sz w:val="32"/>
          <w:szCs w:val="32"/>
        </w:rPr>
        <w:t>名委员组成</w:t>
      </w:r>
      <w:r>
        <w:rPr>
          <w:rFonts w:hint="eastAsia"/>
          <w:sz w:val="32"/>
          <w:szCs w:val="32"/>
          <w:lang w:eastAsia="zh-CN"/>
        </w:rPr>
        <w:t>且为单数</w:t>
      </w:r>
      <w:r>
        <w:rPr>
          <w:rFonts w:hint="eastAsia"/>
          <w:sz w:val="32"/>
          <w:szCs w:val="32"/>
        </w:rPr>
        <w:t>，设主任1名、副主任</w:t>
      </w:r>
      <w:r>
        <w:rPr>
          <w:sz w:val="32"/>
          <w:szCs w:val="32"/>
        </w:rPr>
        <w:t>1</w:t>
      </w:r>
      <w:r>
        <w:rPr>
          <w:rFonts w:hint="eastAsia"/>
          <w:sz w:val="32"/>
          <w:szCs w:val="32"/>
        </w:rPr>
        <w:t>－</w:t>
      </w:r>
      <w:r>
        <w:rPr>
          <w:sz w:val="32"/>
          <w:szCs w:val="32"/>
        </w:rPr>
        <w:t>2</w:t>
      </w:r>
      <w:r>
        <w:rPr>
          <w:rFonts w:hint="eastAsia"/>
          <w:sz w:val="32"/>
          <w:szCs w:val="32"/>
        </w:rPr>
        <w:t>名。委员从有关党政机关、研究机构、会计师事务所、律师事务所等单位推荐的人员中聘任，根据需要动态调整。</w:t>
      </w:r>
    </w:p>
    <w:p w14:paraId="23FC4CA5">
      <w:pPr>
        <w:spacing w:line="620" w:lineRule="exact"/>
        <w:ind w:firstLine="640" w:firstLineChars="200"/>
        <w:rPr>
          <w:sz w:val="32"/>
          <w:szCs w:val="32"/>
        </w:rPr>
      </w:pPr>
      <w:r>
        <w:rPr>
          <w:rFonts w:hint="eastAsia" w:ascii="黑体" w:hAnsi="黑体" w:eastAsia="黑体"/>
          <w:sz w:val="32"/>
          <w:szCs w:val="32"/>
        </w:rPr>
        <w:t>第十三条　</w:t>
      </w:r>
      <w:r>
        <w:rPr>
          <w:rFonts w:hint="eastAsia"/>
          <w:sz w:val="32"/>
          <w:szCs w:val="32"/>
        </w:rPr>
        <w:t>评估委员会承担以下职责：（1）制定本级社会组织年度评估方案；（2）组建评估专家组；（3）指导和监督受委托的第三方开展评估工作；（4）审议初步评估等级；（5）依法处理复核申请和投诉举报。</w:t>
      </w:r>
    </w:p>
    <w:p w14:paraId="21152A76">
      <w:pPr>
        <w:spacing w:line="620" w:lineRule="exact"/>
        <w:ind w:firstLine="640" w:firstLineChars="200"/>
        <w:rPr>
          <w:sz w:val="32"/>
          <w:szCs w:val="32"/>
        </w:rPr>
      </w:pPr>
      <w:r>
        <w:rPr>
          <w:rFonts w:hint="eastAsia" w:ascii="黑体" w:hAnsi="黑体" w:eastAsia="黑体"/>
          <w:sz w:val="32"/>
          <w:szCs w:val="32"/>
        </w:rPr>
        <w:t>第十四条　</w:t>
      </w:r>
      <w:r>
        <w:rPr>
          <w:rFonts w:hint="eastAsia"/>
          <w:sz w:val="32"/>
          <w:szCs w:val="32"/>
        </w:rPr>
        <w:t>评估委员会委员应具备以下条件：（1）熟悉社会组织领域的法律法规和方针政策；（2）具有较高专业水平和良好社会声誉；（3）具备评估工作相关知识和经验，坚持客观公正原则；（4）无违法违规违纪记录。</w:t>
      </w:r>
    </w:p>
    <w:p w14:paraId="440AC683">
      <w:pPr>
        <w:spacing w:line="620" w:lineRule="exact"/>
        <w:ind w:firstLine="640" w:firstLineChars="200"/>
        <w:rPr>
          <w:sz w:val="32"/>
          <w:szCs w:val="32"/>
        </w:rPr>
      </w:pPr>
      <w:r>
        <w:rPr>
          <w:rFonts w:hint="eastAsia" w:ascii="黑体" w:hAnsi="黑体" w:eastAsia="黑体"/>
          <w:sz w:val="32"/>
          <w:szCs w:val="32"/>
        </w:rPr>
        <w:t>第十五条　</w:t>
      </w:r>
      <w:r>
        <w:rPr>
          <w:rFonts w:hint="eastAsia"/>
          <w:sz w:val="32"/>
          <w:szCs w:val="32"/>
        </w:rPr>
        <w:t>评估委员会应组建评估专家组，具体负责评估材料评价、实地评估、评估复核等工作，并对评估结果的客观真实性负责。专家组成员从党政机关、研究机构、会计师事务所、律师事务所</w:t>
      </w:r>
      <w:r>
        <w:rPr>
          <w:rFonts w:hint="eastAsia"/>
          <w:sz w:val="32"/>
          <w:szCs w:val="32"/>
          <w:lang w:eastAsia="zh-CN"/>
        </w:rPr>
        <w:t>以及</w:t>
      </w:r>
      <w:r>
        <w:rPr>
          <w:rFonts w:hint="eastAsia"/>
          <w:sz w:val="32"/>
          <w:szCs w:val="32"/>
        </w:rPr>
        <w:t>高校等熟悉社会组织工作的专业人员中择优遴选。</w:t>
      </w:r>
    </w:p>
    <w:p w14:paraId="6C6E5AAA">
      <w:pPr>
        <w:spacing w:line="620" w:lineRule="exact"/>
        <w:ind w:firstLine="640" w:firstLineChars="200"/>
        <w:rPr>
          <w:sz w:val="32"/>
          <w:szCs w:val="32"/>
        </w:rPr>
      </w:pPr>
      <w:r>
        <w:rPr>
          <w:rFonts w:hint="eastAsia" w:ascii="黑体" w:hAnsi="黑体" w:eastAsia="黑体"/>
          <w:sz w:val="32"/>
          <w:szCs w:val="32"/>
        </w:rPr>
        <w:t>第十六条　</w:t>
      </w:r>
      <w:r>
        <w:rPr>
          <w:rFonts w:hint="eastAsia"/>
          <w:sz w:val="32"/>
          <w:szCs w:val="32"/>
        </w:rPr>
        <w:t>评估委员会委员、评估专家组成员有以下情形之一的应当回避：（1）与参加评估的社会组织及其负责人有利害关系的；（2）曾在参加评估的社会组织任职且离职不满2年的；（</w:t>
      </w:r>
      <w:r>
        <w:rPr>
          <w:sz w:val="32"/>
          <w:szCs w:val="32"/>
        </w:rPr>
        <w:t>3</w:t>
      </w:r>
      <w:r>
        <w:rPr>
          <w:rFonts w:hint="eastAsia"/>
          <w:sz w:val="32"/>
          <w:szCs w:val="32"/>
        </w:rPr>
        <w:t>）与参加评估的社会组织存在其他可能影响公正评估关系的</w:t>
      </w:r>
      <w:r>
        <w:rPr>
          <w:rFonts w:hint="eastAsia"/>
          <w:sz w:val="32"/>
          <w:szCs w:val="32"/>
          <w:lang w:eastAsia="zh-CN"/>
        </w:rPr>
        <w:t>。</w:t>
      </w:r>
      <w:r>
        <w:rPr>
          <w:rFonts w:hint="eastAsia"/>
          <w:sz w:val="32"/>
          <w:szCs w:val="32"/>
        </w:rPr>
        <w:t>评估</w:t>
      </w:r>
      <w:r>
        <w:rPr>
          <w:rFonts w:hint="eastAsia"/>
          <w:sz w:val="32"/>
          <w:szCs w:val="32"/>
          <w:lang w:eastAsia="zh-CN"/>
        </w:rPr>
        <w:t>委员会</w:t>
      </w:r>
      <w:r>
        <w:rPr>
          <w:rFonts w:hint="eastAsia"/>
          <w:sz w:val="32"/>
          <w:szCs w:val="32"/>
        </w:rPr>
        <w:t>委员、评估专家</w:t>
      </w:r>
      <w:r>
        <w:rPr>
          <w:rFonts w:hint="eastAsia"/>
          <w:sz w:val="32"/>
          <w:szCs w:val="32"/>
          <w:lang w:eastAsia="zh-CN"/>
        </w:rPr>
        <w:t>组成员</w:t>
      </w:r>
      <w:r>
        <w:rPr>
          <w:rFonts w:hint="eastAsia"/>
          <w:sz w:val="32"/>
          <w:szCs w:val="32"/>
        </w:rPr>
        <w:t>被参评社会组织提出回避申请的应视情回避。</w:t>
      </w:r>
    </w:p>
    <w:p w14:paraId="60992C1C">
      <w:pPr>
        <w:spacing w:line="620" w:lineRule="exact"/>
        <w:ind w:firstLine="640" w:firstLineChars="200"/>
        <w:rPr>
          <w:sz w:val="32"/>
          <w:szCs w:val="32"/>
        </w:rPr>
      </w:pPr>
      <w:r>
        <w:rPr>
          <w:rFonts w:hint="eastAsia" w:ascii="黑体" w:hAnsi="黑体" w:eastAsia="黑体"/>
          <w:sz w:val="32"/>
          <w:szCs w:val="32"/>
        </w:rPr>
        <w:t>第十七条　</w:t>
      </w:r>
      <w:r>
        <w:rPr>
          <w:rFonts w:hint="eastAsia"/>
          <w:sz w:val="32"/>
          <w:szCs w:val="32"/>
        </w:rPr>
        <w:t>评估委员会应加强</w:t>
      </w:r>
      <w:r>
        <w:rPr>
          <w:rFonts w:hint="eastAsia"/>
          <w:sz w:val="32"/>
          <w:szCs w:val="32"/>
          <w:lang w:eastAsia="zh-CN"/>
        </w:rPr>
        <w:t>对</w:t>
      </w:r>
      <w:r>
        <w:rPr>
          <w:rFonts w:hint="eastAsia"/>
          <w:sz w:val="32"/>
          <w:szCs w:val="32"/>
        </w:rPr>
        <w:t>评估</w:t>
      </w:r>
      <w:r>
        <w:rPr>
          <w:rFonts w:hint="eastAsia"/>
          <w:sz w:val="32"/>
          <w:szCs w:val="32"/>
          <w:lang w:eastAsia="zh-CN"/>
        </w:rPr>
        <w:t>委员会</w:t>
      </w:r>
      <w:r>
        <w:rPr>
          <w:rFonts w:hint="eastAsia"/>
          <w:sz w:val="32"/>
          <w:szCs w:val="32"/>
        </w:rPr>
        <w:t>委员、评估专家</w:t>
      </w:r>
      <w:r>
        <w:rPr>
          <w:rFonts w:hint="eastAsia"/>
          <w:sz w:val="32"/>
          <w:szCs w:val="32"/>
          <w:lang w:eastAsia="zh-CN"/>
        </w:rPr>
        <w:t>组成员</w:t>
      </w:r>
      <w:r>
        <w:rPr>
          <w:rFonts w:hint="eastAsia"/>
          <w:sz w:val="32"/>
          <w:szCs w:val="32"/>
        </w:rPr>
        <w:t>及第三方的监督管理，督促其严守与等级评估相关的秘密，不得接受评估对象及相关人员宴请和馈赠，不得参加可能影响公正评估的有关培训、辅导等活动。</w:t>
      </w:r>
    </w:p>
    <w:p w14:paraId="0F21EFF3">
      <w:pPr>
        <w:spacing w:before="156" w:beforeLines="50" w:after="156" w:afterLines="50" w:line="620" w:lineRule="exact"/>
        <w:jc w:val="center"/>
        <w:rPr>
          <w:rFonts w:ascii="黑体" w:hAnsi="黑体" w:eastAsia="黑体" w:cs="黑体"/>
          <w:sz w:val="32"/>
          <w:szCs w:val="32"/>
        </w:rPr>
      </w:pPr>
      <w:r>
        <w:rPr>
          <w:rFonts w:hint="eastAsia" w:ascii="黑体" w:hAnsi="黑体" w:eastAsia="黑体" w:cs="黑体"/>
          <w:sz w:val="32"/>
          <w:szCs w:val="32"/>
        </w:rPr>
        <w:t>第四章 评估程序</w:t>
      </w:r>
    </w:p>
    <w:p w14:paraId="7B26B468">
      <w:pPr>
        <w:spacing w:line="620" w:lineRule="exact"/>
        <w:ind w:firstLine="640" w:firstLineChars="200"/>
        <w:rPr>
          <w:rFonts w:cs="仿宋_GB2312"/>
          <w:sz w:val="32"/>
          <w:szCs w:val="32"/>
        </w:rPr>
      </w:pPr>
      <w:r>
        <w:rPr>
          <w:rFonts w:hint="eastAsia" w:ascii="黑体" w:hAnsi="黑体" w:eastAsia="黑体"/>
          <w:sz w:val="32"/>
          <w:szCs w:val="32"/>
        </w:rPr>
        <w:t>第十八条　</w:t>
      </w:r>
      <w:r>
        <w:rPr>
          <w:rFonts w:hint="eastAsia" w:cs="仿宋_GB2312"/>
          <w:sz w:val="32"/>
          <w:szCs w:val="32"/>
        </w:rPr>
        <w:t>评估委员会应于每年</w:t>
      </w:r>
      <w:r>
        <w:rPr>
          <w:rFonts w:cs="仿宋_GB2312"/>
          <w:sz w:val="32"/>
          <w:szCs w:val="32"/>
        </w:rPr>
        <w:t>6</w:t>
      </w:r>
      <w:r>
        <w:rPr>
          <w:rFonts w:hint="eastAsia" w:cs="仿宋_GB2312"/>
          <w:sz w:val="32"/>
          <w:szCs w:val="32"/>
        </w:rPr>
        <w:t>月1日前，制定社会组织等级评估工作方案，明确本年度等级评估工作的总体要求、工作目标、评估内容、评估方式、实施步骤、时间安排及专家组组建、信访举报处理等事项。</w:t>
      </w:r>
    </w:p>
    <w:p w14:paraId="1878D8C6">
      <w:pPr>
        <w:spacing w:line="620" w:lineRule="exact"/>
        <w:ind w:firstLine="640" w:firstLineChars="200"/>
        <w:rPr>
          <w:rFonts w:cs="仿宋_GB2312"/>
          <w:sz w:val="32"/>
          <w:szCs w:val="32"/>
        </w:rPr>
      </w:pPr>
      <w:r>
        <w:rPr>
          <w:rFonts w:hint="eastAsia" w:ascii="黑体" w:hAnsi="黑体" w:eastAsia="黑体"/>
          <w:sz w:val="32"/>
          <w:szCs w:val="32"/>
        </w:rPr>
        <w:t>第十九条　</w:t>
      </w:r>
      <w:r>
        <w:rPr>
          <w:rFonts w:hint="eastAsia" w:cs="仿宋_GB2312"/>
          <w:sz w:val="32"/>
          <w:szCs w:val="32"/>
        </w:rPr>
        <w:t>评估委员会应于每年6月1</w:t>
      </w:r>
      <w:r>
        <w:rPr>
          <w:rFonts w:cs="仿宋_GB2312"/>
          <w:sz w:val="32"/>
          <w:szCs w:val="32"/>
        </w:rPr>
        <w:t>0</w:t>
      </w:r>
      <w:r>
        <w:rPr>
          <w:rFonts w:hint="eastAsia" w:cs="仿宋_GB2312"/>
          <w:sz w:val="32"/>
          <w:szCs w:val="32"/>
        </w:rPr>
        <w:t>日前，公开发布关于开展本年度社会组织等级评估工作的公告，明确评估对象的资格条件、申报时间、评估内容、评估程序、需要报送的参评</w:t>
      </w:r>
      <w:r>
        <w:rPr>
          <w:rFonts w:hint="eastAsia" w:cs="仿宋_GB2312"/>
          <w:sz w:val="32"/>
          <w:szCs w:val="32"/>
          <w:lang w:eastAsia="zh-CN"/>
        </w:rPr>
        <w:t>材</w:t>
      </w:r>
      <w:r>
        <w:rPr>
          <w:rFonts w:hint="eastAsia" w:cs="仿宋_GB2312"/>
          <w:sz w:val="32"/>
          <w:szCs w:val="32"/>
        </w:rPr>
        <w:t>料及报送时限等事项。</w:t>
      </w:r>
    </w:p>
    <w:p w14:paraId="27CAAB94">
      <w:pPr>
        <w:spacing w:line="620" w:lineRule="exact"/>
        <w:ind w:firstLine="640" w:firstLineChars="200"/>
        <w:rPr>
          <w:sz w:val="32"/>
          <w:szCs w:val="32"/>
        </w:rPr>
      </w:pPr>
      <w:r>
        <w:rPr>
          <w:rFonts w:hint="eastAsia" w:ascii="黑体" w:hAnsi="黑体" w:eastAsia="黑体"/>
          <w:color w:val="000000" w:themeColor="text1"/>
          <w:sz w:val="32"/>
          <w:szCs w:val="32"/>
          <w14:textFill>
            <w14:solidFill>
              <w14:schemeClr w14:val="tx1"/>
            </w14:solidFill>
          </w14:textFill>
        </w:rPr>
        <w:t>第二十条</w:t>
      </w:r>
      <w:r>
        <w:rPr>
          <w:rFonts w:hint="eastAsia"/>
          <w:color w:val="000000" w:themeColor="text1"/>
          <w:sz w:val="32"/>
          <w:szCs w:val="32"/>
          <w14:textFill>
            <w14:solidFill>
              <w14:schemeClr w14:val="tx1"/>
            </w14:solidFill>
          </w14:textFill>
        </w:rPr>
        <w:t>　社会组织</w:t>
      </w:r>
      <w:r>
        <w:rPr>
          <w:rFonts w:hint="eastAsia"/>
          <w:color w:val="000000" w:themeColor="text1"/>
          <w:sz w:val="32"/>
          <w:szCs w:val="32"/>
          <w:lang w:eastAsia="zh-CN"/>
          <w14:textFill>
            <w14:solidFill>
              <w14:schemeClr w14:val="tx1"/>
            </w14:solidFill>
          </w14:textFill>
        </w:rPr>
        <w:t>应</w:t>
      </w:r>
      <w:r>
        <w:rPr>
          <w:rFonts w:hint="eastAsia"/>
          <w:color w:val="000000" w:themeColor="text1"/>
          <w:sz w:val="32"/>
          <w:szCs w:val="32"/>
          <w14:textFill>
            <w14:solidFill>
              <w14:schemeClr w14:val="tx1"/>
            </w14:solidFill>
          </w14:textFill>
        </w:rPr>
        <w:t>按照</w:t>
      </w:r>
      <w:r>
        <w:rPr>
          <w:rFonts w:hint="eastAsia" w:cs="仿宋_GB2312"/>
          <w:color w:val="000000" w:themeColor="text1"/>
          <w:sz w:val="32"/>
          <w:szCs w:val="32"/>
          <w14:textFill>
            <w14:solidFill>
              <w14:schemeClr w14:val="tx1"/>
            </w14:solidFill>
          </w14:textFill>
        </w:rPr>
        <w:t>评估委员会发布的年度等级评估工作公告，申请参加等级评估。申请</w:t>
      </w:r>
      <w:r>
        <w:rPr>
          <w:rFonts w:hint="eastAsia" w:cs="仿宋_GB2312"/>
          <w:color w:val="000000" w:themeColor="text1"/>
          <w:sz w:val="32"/>
          <w:szCs w:val="32"/>
          <w:lang w:eastAsia="zh-CN"/>
          <w14:textFill>
            <w14:solidFill>
              <w14:schemeClr w14:val="tx1"/>
            </w14:solidFill>
          </w14:textFill>
        </w:rPr>
        <w:t>参加</w:t>
      </w:r>
      <w:r>
        <w:rPr>
          <w:rFonts w:hint="eastAsia" w:cs="仿宋_GB2312"/>
          <w:color w:val="000000" w:themeColor="text1"/>
          <w:sz w:val="32"/>
          <w:szCs w:val="32"/>
          <w14:textFill>
            <w14:solidFill>
              <w14:schemeClr w14:val="tx1"/>
            </w14:solidFill>
          </w14:textFill>
        </w:rPr>
        <w:t>等级评估</w:t>
      </w:r>
      <w:r>
        <w:rPr>
          <w:rFonts w:hint="eastAsia"/>
          <w:color w:val="000000" w:themeColor="text1"/>
          <w:sz w:val="32"/>
          <w:szCs w:val="32"/>
          <w14:textFill>
            <w14:solidFill>
              <w14:schemeClr w14:val="tx1"/>
            </w14:solidFill>
          </w14:textFill>
        </w:rPr>
        <w:t>应符合下列条件之一：（1）取得登记证书满2年且未参加社会组织评估的；（2）评估等级满5年有效期的；（3）在评估等级有效期内、距有效期不满1年的。</w:t>
      </w:r>
      <w:r>
        <w:rPr>
          <w:rFonts w:hint="eastAsia"/>
          <w:sz w:val="32"/>
          <w:szCs w:val="32"/>
        </w:rPr>
        <w:t>在评估等级有效期前4年内的社会组织，可申请一次重新评估。</w:t>
      </w:r>
    </w:p>
    <w:p w14:paraId="30E243F1">
      <w:pPr>
        <w:spacing w:line="620" w:lineRule="exact"/>
        <w:ind w:firstLine="640" w:firstLineChars="200"/>
        <w:rPr>
          <w:rFonts w:ascii="黑体" w:hAnsi="黑体" w:eastAsia="黑体"/>
          <w:sz w:val="32"/>
          <w:szCs w:val="32"/>
        </w:rPr>
      </w:pPr>
      <w:r>
        <w:rPr>
          <w:rFonts w:hint="eastAsia" w:ascii="黑体" w:hAnsi="黑体" w:eastAsia="黑体"/>
          <w:color w:val="000000" w:themeColor="text1"/>
          <w:sz w:val="32"/>
          <w:szCs w:val="32"/>
          <w14:textFill>
            <w14:solidFill>
              <w14:schemeClr w14:val="tx1"/>
            </w14:solidFill>
          </w14:textFill>
        </w:rPr>
        <w:t>第二十一条</w:t>
      </w:r>
      <w:r>
        <w:rPr>
          <w:rFonts w:hint="eastAsia"/>
          <w:color w:val="000000" w:themeColor="text1"/>
          <w:sz w:val="32"/>
          <w:szCs w:val="32"/>
          <w14:textFill>
            <w14:solidFill>
              <w14:schemeClr w14:val="tx1"/>
            </w14:solidFill>
          </w14:textFill>
        </w:rPr>
        <w:t>　评估委员会应组织</w:t>
      </w:r>
      <w:r>
        <w:rPr>
          <w:rFonts w:hint="eastAsia"/>
          <w:color w:val="000000" w:themeColor="text1"/>
          <w:sz w:val="32"/>
          <w:szCs w:val="32"/>
          <w:lang w:eastAsia="zh-CN"/>
          <w14:textFill>
            <w14:solidFill>
              <w14:schemeClr w14:val="tx1"/>
            </w14:solidFill>
          </w14:textFill>
        </w:rPr>
        <w:t>第三方</w:t>
      </w:r>
      <w:r>
        <w:rPr>
          <w:rFonts w:hint="eastAsia"/>
          <w:color w:val="000000" w:themeColor="text1"/>
          <w:sz w:val="32"/>
          <w:szCs w:val="32"/>
          <w14:textFill>
            <w14:solidFill>
              <w14:schemeClr w14:val="tx1"/>
            </w14:solidFill>
          </w14:textFill>
        </w:rPr>
        <w:t>对社会组织参评资格进行审查</w:t>
      </w:r>
      <w:r>
        <w:rPr>
          <w:rFonts w:hint="eastAsia"/>
          <w:color w:val="000000" w:themeColor="text1"/>
          <w:sz w:val="32"/>
          <w:szCs w:val="32"/>
          <w:lang w:eastAsia="zh-CN"/>
          <w14:textFill>
            <w14:solidFill>
              <w14:schemeClr w14:val="tx1"/>
            </w14:solidFill>
          </w14:textFill>
        </w:rPr>
        <w:t>。</w:t>
      </w:r>
      <w:r>
        <w:rPr>
          <w:rFonts w:hint="eastAsia"/>
          <w:color w:val="000000" w:themeColor="text1"/>
          <w:sz w:val="32"/>
          <w:szCs w:val="32"/>
          <w14:textFill>
            <w14:solidFill>
              <w14:schemeClr w14:val="tx1"/>
            </w14:solidFill>
          </w14:textFill>
        </w:rPr>
        <w:t>对</w:t>
      </w:r>
      <w:r>
        <w:rPr>
          <w:rFonts w:hint="eastAsia"/>
          <w:sz w:val="32"/>
          <w:szCs w:val="32"/>
        </w:rPr>
        <w:t>有下列情形之一的不予评估：（1）未按照规定参加上年度年度检查或履行年度工作报告义务的；（2）本年度或者上年度受到有关政府部门罚款以上行政处罚的；（3）申请评估时正在被有关政府部门或者司法机关立案调查的；（4）申请评估时正在被列入失信被执行人的；（5）其他不符合评估条件的情形。</w:t>
      </w:r>
    </w:p>
    <w:p w14:paraId="0EC62561">
      <w:pPr>
        <w:spacing w:line="620" w:lineRule="exact"/>
        <w:ind w:firstLine="640" w:firstLineChars="200"/>
        <w:rPr>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第二十二条</w:t>
      </w:r>
      <w:r>
        <w:rPr>
          <w:rFonts w:hint="eastAsia"/>
          <w:color w:val="000000" w:themeColor="text1"/>
          <w:sz w:val="32"/>
          <w:szCs w:val="32"/>
          <w14:textFill>
            <w14:solidFill>
              <w14:schemeClr w14:val="tx1"/>
            </w14:solidFill>
          </w14:textFill>
        </w:rPr>
        <w:t>　</w:t>
      </w:r>
      <w:r>
        <w:rPr>
          <w:rFonts w:hint="eastAsia"/>
          <w:color w:val="000000" w:themeColor="text1"/>
          <w:sz w:val="32"/>
          <w:szCs w:val="32"/>
          <w:lang w:eastAsia="zh-CN"/>
          <w14:textFill>
            <w14:solidFill>
              <w14:schemeClr w14:val="tx1"/>
            </w14:solidFill>
          </w14:textFill>
        </w:rPr>
        <w:t>第三方</w:t>
      </w:r>
      <w:r>
        <w:rPr>
          <w:rFonts w:hint="eastAsia"/>
          <w:color w:val="000000" w:themeColor="text1"/>
          <w:sz w:val="32"/>
          <w:szCs w:val="32"/>
          <w14:textFill>
            <w14:solidFill>
              <w14:schemeClr w14:val="tx1"/>
            </w14:solidFill>
          </w14:textFill>
        </w:rPr>
        <w:t>应组织评估专家结合对社会组织提供的参评材料评价分析、开展实地评估、相关部门（单位）评价及</w:t>
      </w:r>
      <w:r>
        <w:rPr>
          <w:rFonts w:hint="eastAsia" w:cs="仿宋_GB2312"/>
          <w:sz w:val="32"/>
          <w:szCs w:val="32"/>
        </w:rPr>
        <w:t>舆情检测、民意测评、问卷调查等情况，</w:t>
      </w:r>
      <w:r>
        <w:rPr>
          <w:rFonts w:hint="eastAsia"/>
          <w:color w:val="000000" w:themeColor="text1"/>
          <w:sz w:val="32"/>
          <w:szCs w:val="32"/>
          <w14:textFill>
            <w14:solidFill>
              <w14:schemeClr w14:val="tx1"/>
            </w14:solidFill>
          </w14:textFill>
        </w:rPr>
        <w:t>对社会组织</w:t>
      </w:r>
      <w:r>
        <w:rPr>
          <w:rFonts w:hint="eastAsia"/>
          <w:sz w:val="32"/>
          <w:szCs w:val="32"/>
        </w:rPr>
        <w:t>党的建设、基础条件、内部治理、工作绩效、社会评价等进行综合评估赋分，并出具评估报告。</w:t>
      </w:r>
    </w:p>
    <w:p w14:paraId="5096ACC1">
      <w:pPr>
        <w:spacing w:line="620" w:lineRule="exact"/>
        <w:ind w:firstLine="640" w:firstLineChars="200"/>
        <w:rPr>
          <w:sz w:val="32"/>
          <w:szCs w:val="32"/>
        </w:rPr>
      </w:pPr>
      <w:r>
        <w:rPr>
          <w:rFonts w:hint="eastAsia" w:ascii="黑体" w:hAnsi="黑体" w:eastAsia="黑体"/>
          <w:color w:val="000000" w:themeColor="text1"/>
          <w:sz w:val="32"/>
          <w:szCs w:val="32"/>
          <w14:textFill>
            <w14:solidFill>
              <w14:schemeClr w14:val="tx1"/>
            </w14:solidFill>
          </w14:textFill>
        </w:rPr>
        <w:t>第二十三条　</w:t>
      </w:r>
      <w:r>
        <w:rPr>
          <w:rFonts w:hint="eastAsia"/>
          <w:sz w:val="32"/>
          <w:szCs w:val="32"/>
        </w:rPr>
        <w:t>评估委员会应召开全体会议对</w:t>
      </w:r>
      <w:r>
        <w:rPr>
          <w:rFonts w:hint="eastAsia"/>
          <w:sz w:val="32"/>
          <w:szCs w:val="32"/>
          <w:lang w:eastAsia="zh-CN"/>
        </w:rPr>
        <w:t>第三方</w:t>
      </w:r>
      <w:r>
        <w:rPr>
          <w:rFonts w:hint="eastAsia"/>
          <w:sz w:val="32"/>
          <w:szCs w:val="32"/>
        </w:rPr>
        <w:t>出具的评估报告进行审议，提出初步评估等级并公示。评估分数达到9</w:t>
      </w:r>
      <w:r>
        <w:rPr>
          <w:sz w:val="32"/>
          <w:szCs w:val="32"/>
        </w:rPr>
        <w:t>0</w:t>
      </w:r>
      <w:r>
        <w:rPr>
          <w:rFonts w:hint="eastAsia"/>
          <w:sz w:val="32"/>
          <w:szCs w:val="32"/>
        </w:rPr>
        <w:t>－</w:t>
      </w:r>
      <w:r>
        <w:rPr>
          <w:sz w:val="32"/>
          <w:szCs w:val="32"/>
        </w:rPr>
        <w:t>100</w:t>
      </w:r>
      <w:r>
        <w:rPr>
          <w:rFonts w:hint="eastAsia"/>
          <w:sz w:val="32"/>
          <w:szCs w:val="32"/>
        </w:rPr>
        <w:t>分为5</w:t>
      </w:r>
      <w:r>
        <w:rPr>
          <w:rFonts w:hint="eastAsia"/>
          <w:sz w:val="32"/>
          <w:szCs w:val="32"/>
          <w:lang w:val="en-US" w:eastAsia="zh-CN"/>
        </w:rPr>
        <w:t>A</w:t>
      </w:r>
      <w:r>
        <w:rPr>
          <w:rFonts w:hint="eastAsia"/>
          <w:sz w:val="32"/>
          <w:szCs w:val="32"/>
        </w:rPr>
        <w:t>级、</w:t>
      </w:r>
      <w:r>
        <w:rPr>
          <w:sz w:val="32"/>
          <w:szCs w:val="32"/>
        </w:rPr>
        <w:t>80</w:t>
      </w:r>
      <w:r>
        <w:rPr>
          <w:rFonts w:hint="eastAsia"/>
          <w:sz w:val="32"/>
          <w:szCs w:val="32"/>
        </w:rPr>
        <w:t>－</w:t>
      </w:r>
      <w:r>
        <w:rPr>
          <w:sz w:val="32"/>
          <w:szCs w:val="32"/>
        </w:rPr>
        <w:t>90</w:t>
      </w:r>
      <w:r>
        <w:rPr>
          <w:rFonts w:hint="eastAsia"/>
          <w:sz w:val="32"/>
          <w:szCs w:val="32"/>
        </w:rPr>
        <w:t>（不含）分为</w:t>
      </w:r>
      <w:r>
        <w:rPr>
          <w:sz w:val="32"/>
          <w:szCs w:val="32"/>
        </w:rPr>
        <w:t>4</w:t>
      </w:r>
      <w:r>
        <w:rPr>
          <w:rFonts w:hint="eastAsia"/>
          <w:sz w:val="32"/>
          <w:szCs w:val="32"/>
          <w:lang w:val="en-US" w:eastAsia="zh-CN"/>
        </w:rPr>
        <w:t>A</w:t>
      </w:r>
      <w:r>
        <w:rPr>
          <w:rFonts w:hint="eastAsia"/>
          <w:sz w:val="32"/>
          <w:szCs w:val="32"/>
        </w:rPr>
        <w:t>级、</w:t>
      </w:r>
      <w:r>
        <w:rPr>
          <w:sz w:val="32"/>
          <w:szCs w:val="32"/>
        </w:rPr>
        <w:t>70</w:t>
      </w:r>
      <w:r>
        <w:rPr>
          <w:rFonts w:hint="eastAsia"/>
          <w:sz w:val="32"/>
          <w:szCs w:val="32"/>
        </w:rPr>
        <w:t>－</w:t>
      </w:r>
      <w:r>
        <w:rPr>
          <w:sz w:val="32"/>
          <w:szCs w:val="32"/>
        </w:rPr>
        <w:t>80</w:t>
      </w:r>
      <w:r>
        <w:rPr>
          <w:rFonts w:hint="eastAsia"/>
          <w:sz w:val="32"/>
          <w:szCs w:val="32"/>
        </w:rPr>
        <w:t>（不含）分为</w:t>
      </w:r>
      <w:r>
        <w:rPr>
          <w:sz w:val="32"/>
          <w:szCs w:val="32"/>
        </w:rPr>
        <w:t>3</w:t>
      </w:r>
      <w:r>
        <w:rPr>
          <w:rFonts w:hint="eastAsia"/>
          <w:sz w:val="32"/>
          <w:szCs w:val="32"/>
          <w:lang w:val="en-US" w:eastAsia="zh-CN"/>
        </w:rPr>
        <w:t>A</w:t>
      </w:r>
      <w:r>
        <w:rPr>
          <w:rFonts w:hint="eastAsia"/>
          <w:sz w:val="32"/>
          <w:szCs w:val="32"/>
        </w:rPr>
        <w:t>级、</w:t>
      </w:r>
      <w:r>
        <w:rPr>
          <w:sz w:val="32"/>
          <w:szCs w:val="32"/>
        </w:rPr>
        <w:t>60</w:t>
      </w:r>
      <w:r>
        <w:rPr>
          <w:rFonts w:hint="eastAsia"/>
          <w:sz w:val="32"/>
          <w:szCs w:val="32"/>
        </w:rPr>
        <w:t>－</w:t>
      </w:r>
      <w:r>
        <w:rPr>
          <w:sz w:val="32"/>
          <w:szCs w:val="32"/>
        </w:rPr>
        <w:t>70</w:t>
      </w:r>
      <w:r>
        <w:rPr>
          <w:rFonts w:hint="eastAsia"/>
          <w:sz w:val="32"/>
          <w:szCs w:val="32"/>
        </w:rPr>
        <w:t>（不含）分为</w:t>
      </w:r>
      <w:r>
        <w:rPr>
          <w:sz w:val="32"/>
          <w:szCs w:val="32"/>
        </w:rPr>
        <w:t>2</w:t>
      </w:r>
      <w:r>
        <w:rPr>
          <w:rFonts w:hint="eastAsia"/>
          <w:sz w:val="32"/>
          <w:szCs w:val="32"/>
          <w:lang w:val="en-US" w:eastAsia="zh-CN"/>
        </w:rPr>
        <w:t>A</w:t>
      </w:r>
      <w:r>
        <w:rPr>
          <w:rFonts w:hint="eastAsia"/>
          <w:sz w:val="32"/>
          <w:szCs w:val="32"/>
        </w:rPr>
        <w:t>级、</w:t>
      </w:r>
      <w:r>
        <w:rPr>
          <w:sz w:val="32"/>
          <w:szCs w:val="32"/>
        </w:rPr>
        <w:t>50</w:t>
      </w:r>
      <w:r>
        <w:rPr>
          <w:rFonts w:hint="eastAsia"/>
          <w:sz w:val="32"/>
          <w:szCs w:val="32"/>
        </w:rPr>
        <w:t>－</w:t>
      </w:r>
      <w:r>
        <w:rPr>
          <w:sz w:val="32"/>
          <w:szCs w:val="32"/>
        </w:rPr>
        <w:t>60</w:t>
      </w:r>
      <w:r>
        <w:rPr>
          <w:rFonts w:hint="eastAsia"/>
          <w:sz w:val="32"/>
          <w:szCs w:val="32"/>
        </w:rPr>
        <w:t>（不含）分为</w:t>
      </w:r>
      <w:r>
        <w:rPr>
          <w:sz w:val="32"/>
          <w:szCs w:val="32"/>
        </w:rPr>
        <w:t>1</w:t>
      </w:r>
      <w:r>
        <w:rPr>
          <w:rFonts w:hint="eastAsia"/>
          <w:sz w:val="32"/>
          <w:szCs w:val="32"/>
          <w:lang w:val="en-US" w:eastAsia="zh-CN"/>
        </w:rPr>
        <w:t>A</w:t>
      </w:r>
      <w:r>
        <w:rPr>
          <w:rFonts w:hint="eastAsia"/>
          <w:sz w:val="32"/>
          <w:szCs w:val="32"/>
        </w:rPr>
        <w:t>级。评估委员会全体会议须有三分之二以上委员出席，采取记名投票方式表决，经</w:t>
      </w:r>
      <w:r>
        <w:rPr>
          <w:rFonts w:hint="eastAsia"/>
          <w:sz w:val="32"/>
          <w:szCs w:val="32"/>
          <w:lang w:eastAsia="zh-CN"/>
        </w:rPr>
        <w:t>全体委员</w:t>
      </w:r>
      <w:r>
        <w:rPr>
          <w:rFonts w:hint="eastAsia"/>
          <w:sz w:val="32"/>
          <w:szCs w:val="32"/>
        </w:rPr>
        <w:t>半数以上</w:t>
      </w:r>
      <w:r>
        <w:rPr>
          <w:rFonts w:hint="eastAsia"/>
          <w:sz w:val="32"/>
          <w:szCs w:val="32"/>
          <w:lang w:eastAsia="zh-CN"/>
        </w:rPr>
        <w:t>同意方可</w:t>
      </w:r>
      <w:r>
        <w:rPr>
          <w:rFonts w:hint="eastAsia"/>
          <w:sz w:val="32"/>
          <w:szCs w:val="32"/>
        </w:rPr>
        <w:t xml:space="preserve">通过。公示期不少于5个工作日。 </w:t>
      </w:r>
    </w:p>
    <w:p w14:paraId="39D8DEA8">
      <w:pPr>
        <w:spacing w:line="620" w:lineRule="exact"/>
        <w:ind w:firstLine="640" w:firstLineChars="200"/>
        <w:rPr>
          <w:sz w:val="32"/>
          <w:szCs w:val="32"/>
        </w:rPr>
      </w:pPr>
      <w:r>
        <w:rPr>
          <w:rFonts w:hint="eastAsia" w:ascii="黑体" w:hAnsi="黑体" w:eastAsia="黑体"/>
          <w:color w:val="000000" w:themeColor="text1"/>
          <w:sz w:val="32"/>
          <w:szCs w:val="32"/>
          <w14:textFill>
            <w14:solidFill>
              <w14:schemeClr w14:val="tx1"/>
            </w14:solidFill>
          </w14:textFill>
        </w:rPr>
        <w:t>第二十四条　</w:t>
      </w:r>
      <w:r>
        <w:rPr>
          <w:rFonts w:hint="eastAsia"/>
          <w:sz w:val="32"/>
          <w:szCs w:val="32"/>
        </w:rPr>
        <w:t>公示期间，对初步评估等级有异议的，相关社会组织可向评估委员会提出书面复核申请，评估委员会应另行组织专家通过听取社会组织陈述、核实相关材料等方式进行复核，提出复核意见。出现信访举报的，由民政部门依据</w:t>
      </w:r>
      <w:r>
        <w:rPr>
          <w:rFonts w:hint="eastAsia"/>
          <w:sz w:val="32"/>
          <w:szCs w:val="32"/>
          <w:lang w:eastAsia="zh-CN"/>
        </w:rPr>
        <w:t>《</w:t>
      </w:r>
      <w:r>
        <w:rPr>
          <w:rFonts w:hint="eastAsia"/>
          <w:sz w:val="32"/>
          <w:szCs w:val="32"/>
        </w:rPr>
        <w:t>信访工作条例</w:t>
      </w:r>
      <w:r>
        <w:rPr>
          <w:rFonts w:hint="eastAsia"/>
          <w:sz w:val="32"/>
          <w:szCs w:val="32"/>
          <w:lang w:eastAsia="zh-CN"/>
        </w:rPr>
        <w:t>》等</w:t>
      </w:r>
      <w:r>
        <w:rPr>
          <w:rFonts w:hint="eastAsia"/>
          <w:sz w:val="32"/>
          <w:szCs w:val="32"/>
        </w:rPr>
        <w:t>有关规定处理。</w:t>
      </w:r>
    </w:p>
    <w:p w14:paraId="07295EC3">
      <w:pPr>
        <w:spacing w:line="620" w:lineRule="exact"/>
        <w:ind w:firstLine="640" w:firstLineChars="200"/>
        <w:rPr>
          <w:sz w:val="32"/>
          <w:szCs w:val="32"/>
        </w:rPr>
      </w:pPr>
      <w:r>
        <w:rPr>
          <w:rFonts w:hint="eastAsia" w:ascii="黑体" w:hAnsi="黑体" w:eastAsia="黑体"/>
          <w:color w:val="000000" w:themeColor="text1"/>
          <w:sz w:val="32"/>
          <w:szCs w:val="32"/>
          <w14:textFill>
            <w14:solidFill>
              <w14:schemeClr w14:val="tx1"/>
            </w14:solidFill>
          </w14:textFill>
        </w:rPr>
        <w:t>第二十五条　</w:t>
      </w:r>
      <w:r>
        <w:rPr>
          <w:rFonts w:hint="eastAsia"/>
          <w:sz w:val="32"/>
          <w:szCs w:val="32"/>
        </w:rPr>
        <w:t>对公示期满无异议的社会组织，由民政部门统一发布评估等级公告，向3</w:t>
      </w:r>
      <w:r>
        <w:rPr>
          <w:rFonts w:hint="eastAsia"/>
          <w:sz w:val="32"/>
          <w:szCs w:val="32"/>
          <w:lang w:val="en-US" w:eastAsia="zh-CN"/>
        </w:rPr>
        <w:t>A</w:t>
      </w:r>
      <w:r>
        <w:rPr>
          <w:rFonts w:hint="eastAsia"/>
          <w:sz w:val="32"/>
          <w:szCs w:val="32"/>
        </w:rPr>
        <w:t>级及以上评估等级社会组织颁发评估等级证书和牌匾。对公示期间有异议和出现信访举报的社会组织，依据复核、信访处理结果，视情作出评估结论、公告或颁发证书和牌匾。</w:t>
      </w:r>
    </w:p>
    <w:p w14:paraId="57A882F3">
      <w:pPr>
        <w:spacing w:before="156" w:beforeLines="50" w:after="156" w:afterLines="50" w:line="620" w:lineRule="exact"/>
        <w:jc w:val="center"/>
        <w:rPr>
          <w:rFonts w:ascii="黑体" w:hAnsi="黑体" w:eastAsia="黑体" w:cs="黑体"/>
          <w:sz w:val="32"/>
          <w:szCs w:val="32"/>
        </w:rPr>
      </w:pPr>
      <w:r>
        <w:rPr>
          <w:rFonts w:hint="eastAsia" w:ascii="黑体" w:hAnsi="黑体" w:eastAsia="黑体" w:cs="黑体"/>
          <w:sz w:val="32"/>
          <w:szCs w:val="32"/>
        </w:rPr>
        <w:t>第五章 评估管理</w:t>
      </w:r>
    </w:p>
    <w:p w14:paraId="6271E5C7">
      <w:pPr>
        <w:spacing w:line="620" w:lineRule="exact"/>
        <w:ind w:firstLine="640" w:firstLineChars="200"/>
        <w:rPr>
          <w:sz w:val="32"/>
          <w:szCs w:val="32"/>
        </w:rPr>
      </w:pPr>
      <w:r>
        <w:rPr>
          <w:rFonts w:hint="eastAsia" w:ascii="黑体" w:hAnsi="黑体" w:eastAsia="黑体"/>
          <w:color w:val="000000" w:themeColor="text1"/>
          <w:sz w:val="32"/>
          <w:szCs w:val="32"/>
          <w14:textFill>
            <w14:solidFill>
              <w14:schemeClr w14:val="tx1"/>
            </w14:solidFill>
          </w14:textFill>
        </w:rPr>
        <w:t>第二十六条　</w:t>
      </w:r>
      <w:r>
        <w:rPr>
          <w:rFonts w:hint="eastAsia"/>
          <w:sz w:val="32"/>
          <w:szCs w:val="32"/>
        </w:rPr>
        <w:t>民政部门应加强评估工作管理。任何单位和个人发现社会组织等级评估工作中存在违法违规行为，可以向民政部门投诉举报，民政部门应及时调查处理，并</w:t>
      </w:r>
      <w:r>
        <w:rPr>
          <w:rFonts w:hint="eastAsia"/>
          <w:sz w:val="32"/>
          <w:szCs w:val="32"/>
          <w:lang w:eastAsia="zh-CN"/>
        </w:rPr>
        <w:t>按照有关规定</w:t>
      </w:r>
      <w:r>
        <w:rPr>
          <w:rFonts w:hint="eastAsia"/>
          <w:sz w:val="32"/>
          <w:szCs w:val="32"/>
        </w:rPr>
        <w:t>反馈调查结果。民政部门工作人员在等级评估工作中玩忽职守、徇私舞弊、滥用职权的，应依</w:t>
      </w:r>
      <w:r>
        <w:rPr>
          <w:rFonts w:hint="eastAsia"/>
          <w:sz w:val="32"/>
          <w:szCs w:val="32"/>
          <w:lang w:eastAsia="zh-CN"/>
        </w:rPr>
        <w:t>规</w:t>
      </w:r>
      <w:r>
        <w:rPr>
          <w:rFonts w:hint="eastAsia"/>
          <w:sz w:val="32"/>
          <w:szCs w:val="32"/>
        </w:rPr>
        <w:t>依纪</w:t>
      </w:r>
      <w:r>
        <w:rPr>
          <w:rFonts w:hint="eastAsia"/>
          <w:sz w:val="32"/>
          <w:szCs w:val="32"/>
          <w:lang w:eastAsia="zh-CN"/>
        </w:rPr>
        <w:t>依法</w:t>
      </w:r>
      <w:r>
        <w:rPr>
          <w:rFonts w:hint="eastAsia"/>
          <w:sz w:val="32"/>
          <w:szCs w:val="32"/>
        </w:rPr>
        <w:t>给予处分，涉嫌违法犯罪的，移送司法机关处理。评估委员和评估专家在等级评估工作中徇私舞弊、滥用职权、弄虚作假的，应取消其委员或专家资格</w:t>
      </w:r>
      <w:r>
        <w:rPr>
          <w:rFonts w:hint="eastAsia"/>
          <w:sz w:val="32"/>
          <w:szCs w:val="32"/>
          <w:lang w:eastAsia="zh-CN"/>
        </w:rPr>
        <w:t>，并依纪依规依法追究责任</w:t>
      </w:r>
      <w:r>
        <w:rPr>
          <w:rFonts w:hint="eastAsia"/>
          <w:sz w:val="32"/>
          <w:szCs w:val="32"/>
        </w:rPr>
        <w:t>。第三方存在上述行为的，应依法解除协议并追偿损失。等级评估工作所需费用，应列入财政预算，不得向社会组织收取。</w:t>
      </w:r>
    </w:p>
    <w:p w14:paraId="5C365619">
      <w:pPr>
        <w:spacing w:line="620" w:lineRule="exact"/>
        <w:ind w:firstLine="640" w:firstLineChars="200"/>
        <w:rPr>
          <w:sz w:val="32"/>
          <w:szCs w:val="32"/>
        </w:rPr>
      </w:pPr>
      <w:r>
        <w:rPr>
          <w:rFonts w:hint="eastAsia" w:ascii="黑体" w:hAnsi="黑体" w:eastAsia="黑体"/>
          <w:color w:val="000000" w:themeColor="text1"/>
          <w:sz w:val="32"/>
          <w:szCs w:val="32"/>
          <w14:textFill>
            <w14:solidFill>
              <w14:schemeClr w14:val="tx1"/>
            </w14:solidFill>
          </w14:textFill>
        </w:rPr>
        <w:t>第二十七条　</w:t>
      </w:r>
      <w:r>
        <w:rPr>
          <w:rFonts w:hint="eastAsia"/>
          <w:sz w:val="32"/>
          <w:szCs w:val="32"/>
        </w:rPr>
        <w:t>民政部门应加强评估等级管理。对获得4</w:t>
      </w:r>
      <w:r>
        <w:rPr>
          <w:rFonts w:hint="eastAsia"/>
          <w:sz w:val="32"/>
          <w:szCs w:val="32"/>
          <w:lang w:val="en-US" w:eastAsia="zh-CN"/>
        </w:rPr>
        <w:t>A</w:t>
      </w:r>
      <w:r>
        <w:rPr>
          <w:rFonts w:hint="eastAsia"/>
          <w:sz w:val="32"/>
          <w:szCs w:val="32"/>
        </w:rPr>
        <w:t>级及以上的社会组织，可按照一定比例进行跟踪评估。对提供虚假材料、串通作弊致使评估结果失实，涂改、伪造和出租出借等级证书或标志，未按照规定参加年检年报，受到政府有关部门行政处罚或被媒体曝光造成恶劣影响</w:t>
      </w:r>
      <w:r>
        <w:rPr>
          <w:rFonts w:hint="eastAsia"/>
          <w:sz w:val="32"/>
          <w:szCs w:val="32"/>
          <w:lang w:eastAsia="zh-CN"/>
        </w:rPr>
        <w:t>等</w:t>
      </w:r>
      <w:r>
        <w:rPr>
          <w:rFonts w:hint="eastAsia"/>
          <w:sz w:val="32"/>
          <w:szCs w:val="32"/>
        </w:rPr>
        <w:t>，应进行核查评估。对经跟踪评估和核查评估，发现评估等级与事实不符或发生变化的社会组织，应调整其评估等级并向社会公告。被调整评估等级的社会组织，应自公告发布之日起15日内，将原评估等级证书和牌匾退回民政部门，并换发相应等级的证书和牌匾；拒不退回的，由民政部门公告原证书和牌匾作废。调整后的评估等级有效期，按原评估等级有效期剩余时间执行。</w:t>
      </w:r>
    </w:p>
    <w:p w14:paraId="116D507E">
      <w:pPr>
        <w:spacing w:line="620" w:lineRule="exact"/>
        <w:ind w:firstLine="640" w:firstLineChars="200"/>
        <w:rPr>
          <w:sz w:val="32"/>
          <w:szCs w:val="32"/>
        </w:rPr>
      </w:pPr>
      <w:r>
        <w:rPr>
          <w:rFonts w:hint="eastAsia" w:ascii="黑体" w:hAnsi="黑体" w:eastAsia="黑体"/>
          <w:color w:val="000000" w:themeColor="text1"/>
          <w:sz w:val="32"/>
          <w:szCs w:val="32"/>
          <w14:textFill>
            <w14:solidFill>
              <w14:schemeClr w14:val="tx1"/>
            </w14:solidFill>
          </w14:textFill>
        </w:rPr>
        <w:t>第二十八条　</w:t>
      </w:r>
      <w:r>
        <w:rPr>
          <w:rFonts w:hint="eastAsia"/>
          <w:sz w:val="32"/>
          <w:szCs w:val="32"/>
        </w:rPr>
        <w:t>民政部门应加强评估结果管理。对获得3</w:t>
      </w:r>
      <w:r>
        <w:rPr>
          <w:rFonts w:hint="eastAsia"/>
          <w:sz w:val="32"/>
          <w:szCs w:val="32"/>
          <w:lang w:eastAsia="zh-CN"/>
        </w:rPr>
        <w:t>Ａ</w:t>
      </w:r>
      <w:r>
        <w:rPr>
          <w:rFonts w:hint="eastAsia"/>
          <w:sz w:val="32"/>
          <w:szCs w:val="32"/>
        </w:rPr>
        <w:t>级及以上评估等级的社会组织，应督促其将评估等级牌匾悬挂在办公场所显著位置。允许其将评估等级证书作为信誉证明对外出示。支持其优先获得社会组织发展资金扶持、优先承接政府购买服务项目、优先作为评</w:t>
      </w:r>
      <w:r>
        <w:rPr>
          <w:rFonts w:hint="eastAsia"/>
          <w:sz w:val="32"/>
          <w:szCs w:val="32"/>
          <w:lang w:eastAsia="zh-CN"/>
        </w:rPr>
        <w:t>先</w:t>
      </w:r>
      <w:r>
        <w:rPr>
          <w:rFonts w:hint="eastAsia"/>
          <w:sz w:val="32"/>
          <w:szCs w:val="32"/>
        </w:rPr>
        <w:t>树优的对象。根据实际情况，降低监管的比例和频次。</w:t>
      </w:r>
    </w:p>
    <w:p w14:paraId="5287388D">
      <w:pPr>
        <w:spacing w:line="620" w:lineRule="exact"/>
        <w:ind w:firstLine="640" w:firstLineChars="200"/>
        <w:rPr>
          <w:sz w:val="36"/>
          <w:szCs w:val="36"/>
        </w:rPr>
      </w:pPr>
      <w:r>
        <w:rPr>
          <w:rFonts w:hint="eastAsia"/>
          <w:sz w:val="32"/>
          <w:szCs w:val="32"/>
        </w:rPr>
        <w:t>本细则从2026年</w:t>
      </w:r>
      <w:r>
        <w:rPr>
          <w:rFonts w:hint="eastAsia"/>
          <w:sz w:val="32"/>
          <w:szCs w:val="32"/>
          <w:lang w:val="en-US" w:eastAsia="zh-CN"/>
        </w:rPr>
        <w:t>6</w:t>
      </w:r>
      <w:r>
        <w:rPr>
          <w:rFonts w:hint="eastAsia"/>
          <w:sz w:val="32"/>
          <w:szCs w:val="32"/>
        </w:rPr>
        <w:t>月1日起施行。</w:t>
      </w:r>
    </w:p>
    <w:sectPr>
      <w:footerReference r:id="rId3" w:type="default"/>
      <w:pgSz w:w="11906" w:h="16838"/>
      <w:pgMar w:top="1417" w:right="1797" w:bottom="1417" w:left="1797" w:header="1418" w:footer="107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3D4DA">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19F17">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119F17">
                    <w:pPr>
                      <w:pStyle w:val="2"/>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p w14:paraId="277BB6B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gutterAtTop/>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334"/>
    <w:rsid w:val="00022E24"/>
    <w:rsid w:val="000357BA"/>
    <w:rsid w:val="00036CAB"/>
    <w:rsid w:val="00050C5B"/>
    <w:rsid w:val="00090A0A"/>
    <w:rsid w:val="000C648B"/>
    <w:rsid w:val="000D7AE3"/>
    <w:rsid w:val="000E0E9A"/>
    <w:rsid w:val="000E3FCC"/>
    <w:rsid w:val="00105D1A"/>
    <w:rsid w:val="0010614E"/>
    <w:rsid w:val="00110C33"/>
    <w:rsid w:val="00111070"/>
    <w:rsid w:val="0013222E"/>
    <w:rsid w:val="0015683B"/>
    <w:rsid w:val="00161997"/>
    <w:rsid w:val="001636B8"/>
    <w:rsid w:val="00177E2E"/>
    <w:rsid w:val="00180E3C"/>
    <w:rsid w:val="00183758"/>
    <w:rsid w:val="0019279D"/>
    <w:rsid w:val="001B7904"/>
    <w:rsid w:val="001D27A1"/>
    <w:rsid w:val="001F625D"/>
    <w:rsid w:val="00224594"/>
    <w:rsid w:val="00227623"/>
    <w:rsid w:val="00236B0B"/>
    <w:rsid w:val="00262E95"/>
    <w:rsid w:val="00263E35"/>
    <w:rsid w:val="0027162F"/>
    <w:rsid w:val="0027381F"/>
    <w:rsid w:val="00282A7A"/>
    <w:rsid w:val="002975B2"/>
    <w:rsid w:val="002C2021"/>
    <w:rsid w:val="002C231C"/>
    <w:rsid w:val="002D22BB"/>
    <w:rsid w:val="00313B96"/>
    <w:rsid w:val="00322944"/>
    <w:rsid w:val="00350D63"/>
    <w:rsid w:val="00357898"/>
    <w:rsid w:val="00361313"/>
    <w:rsid w:val="00373388"/>
    <w:rsid w:val="003B0AED"/>
    <w:rsid w:val="003C64AD"/>
    <w:rsid w:val="003D4DF1"/>
    <w:rsid w:val="00403795"/>
    <w:rsid w:val="004064D7"/>
    <w:rsid w:val="00410E86"/>
    <w:rsid w:val="00412BE8"/>
    <w:rsid w:val="00430F32"/>
    <w:rsid w:val="00431A7D"/>
    <w:rsid w:val="00441B08"/>
    <w:rsid w:val="00467806"/>
    <w:rsid w:val="00493E40"/>
    <w:rsid w:val="00496C8C"/>
    <w:rsid w:val="004A7512"/>
    <w:rsid w:val="004C012B"/>
    <w:rsid w:val="004C47DE"/>
    <w:rsid w:val="004C55B7"/>
    <w:rsid w:val="004F1D4A"/>
    <w:rsid w:val="00513622"/>
    <w:rsid w:val="00535A6A"/>
    <w:rsid w:val="005437AC"/>
    <w:rsid w:val="0054468F"/>
    <w:rsid w:val="0055472B"/>
    <w:rsid w:val="005571C7"/>
    <w:rsid w:val="00557ACB"/>
    <w:rsid w:val="00565F41"/>
    <w:rsid w:val="00574AC8"/>
    <w:rsid w:val="00584953"/>
    <w:rsid w:val="00586785"/>
    <w:rsid w:val="005A6F40"/>
    <w:rsid w:val="005B0812"/>
    <w:rsid w:val="005B64CC"/>
    <w:rsid w:val="005D6219"/>
    <w:rsid w:val="005E0CD3"/>
    <w:rsid w:val="005E1D2F"/>
    <w:rsid w:val="005E27CB"/>
    <w:rsid w:val="005F7143"/>
    <w:rsid w:val="006020C3"/>
    <w:rsid w:val="00604272"/>
    <w:rsid w:val="00604DAE"/>
    <w:rsid w:val="00614118"/>
    <w:rsid w:val="00614334"/>
    <w:rsid w:val="00616C3C"/>
    <w:rsid w:val="006449BC"/>
    <w:rsid w:val="00647B2C"/>
    <w:rsid w:val="00673AE6"/>
    <w:rsid w:val="00683280"/>
    <w:rsid w:val="00685F03"/>
    <w:rsid w:val="00696938"/>
    <w:rsid w:val="006A525E"/>
    <w:rsid w:val="006A5CC7"/>
    <w:rsid w:val="006A6B86"/>
    <w:rsid w:val="006B2D46"/>
    <w:rsid w:val="006B4FF1"/>
    <w:rsid w:val="006C1067"/>
    <w:rsid w:val="006D18F7"/>
    <w:rsid w:val="006E39E0"/>
    <w:rsid w:val="006F799D"/>
    <w:rsid w:val="0070306B"/>
    <w:rsid w:val="007242DE"/>
    <w:rsid w:val="0072799E"/>
    <w:rsid w:val="0073067E"/>
    <w:rsid w:val="0073686B"/>
    <w:rsid w:val="00750F38"/>
    <w:rsid w:val="00752CF7"/>
    <w:rsid w:val="00763A52"/>
    <w:rsid w:val="0077039E"/>
    <w:rsid w:val="00771F74"/>
    <w:rsid w:val="00786290"/>
    <w:rsid w:val="00791076"/>
    <w:rsid w:val="007974EA"/>
    <w:rsid w:val="007B2E88"/>
    <w:rsid w:val="007B5F74"/>
    <w:rsid w:val="007B6D36"/>
    <w:rsid w:val="007C6A20"/>
    <w:rsid w:val="007E040D"/>
    <w:rsid w:val="007F28A6"/>
    <w:rsid w:val="00805A8C"/>
    <w:rsid w:val="00805B47"/>
    <w:rsid w:val="00811D08"/>
    <w:rsid w:val="00816C17"/>
    <w:rsid w:val="00822378"/>
    <w:rsid w:val="00824461"/>
    <w:rsid w:val="00845CF4"/>
    <w:rsid w:val="00865AAB"/>
    <w:rsid w:val="0089565E"/>
    <w:rsid w:val="008A6D13"/>
    <w:rsid w:val="008B49FD"/>
    <w:rsid w:val="008F62C4"/>
    <w:rsid w:val="00900F1A"/>
    <w:rsid w:val="00903843"/>
    <w:rsid w:val="00912C6A"/>
    <w:rsid w:val="00925376"/>
    <w:rsid w:val="009359CD"/>
    <w:rsid w:val="00977021"/>
    <w:rsid w:val="00977B78"/>
    <w:rsid w:val="009D763E"/>
    <w:rsid w:val="00A02232"/>
    <w:rsid w:val="00A10875"/>
    <w:rsid w:val="00A13784"/>
    <w:rsid w:val="00A22090"/>
    <w:rsid w:val="00A533E0"/>
    <w:rsid w:val="00A958A5"/>
    <w:rsid w:val="00A96C0E"/>
    <w:rsid w:val="00AB0256"/>
    <w:rsid w:val="00AB4BFF"/>
    <w:rsid w:val="00AC17CB"/>
    <w:rsid w:val="00AE675E"/>
    <w:rsid w:val="00AE74B6"/>
    <w:rsid w:val="00AF7CE8"/>
    <w:rsid w:val="00B077B1"/>
    <w:rsid w:val="00B12014"/>
    <w:rsid w:val="00B306E1"/>
    <w:rsid w:val="00B416D6"/>
    <w:rsid w:val="00B44498"/>
    <w:rsid w:val="00B464A9"/>
    <w:rsid w:val="00B54966"/>
    <w:rsid w:val="00B71BFA"/>
    <w:rsid w:val="00B84C64"/>
    <w:rsid w:val="00B909F9"/>
    <w:rsid w:val="00BA064F"/>
    <w:rsid w:val="00BD1947"/>
    <w:rsid w:val="00BF61A4"/>
    <w:rsid w:val="00C00AB6"/>
    <w:rsid w:val="00C410F2"/>
    <w:rsid w:val="00C478D1"/>
    <w:rsid w:val="00C54490"/>
    <w:rsid w:val="00C6052C"/>
    <w:rsid w:val="00C768B7"/>
    <w:rsid w:val="00C97D03"/>
    <w:rsid w:val="00CB185D"/>
    <w:rsid w:val="00CB6CB1"/>
    <w:rsid w:val="00CD2C0B"/>
    <w:rsid w:val="00CD7D97"/>
    <w:rsid w:val="00D037DA"/>
    <w:rsid w:val="00D049A3"/>
    <w:rsid w:val="00D050FF"/>
    <w:rsid w:val="00D06577"/>
    <w:rsid w:val="00D12BDD"/>
    <w:rsid w:val="00D24D71"/>
    <w:rsid w:val="00D3623D"/>
    <w:rsid w:val="00D36431"/>
    <w:rsid w:val="00D4591C"/>
    <w:rsid w:val="00D70E4F"/>
    <w:rsid w:val="00D9286D"/>
    <w:rsid w:val="00D959CE"/>
    <w:rsid w:val="00DA2224"/>
    <w:rsid w:val="00DA5455"/>
    <w:rsid w:val="00DA7254"/>
    <w:rsid w:val="00DC3529"/>
    <w:rsid w:val="00DC3A94"/>
    <w:rsid w:val="00DC5950"/>
    <w:rsid w:val="00DD14C2"/>
    <w:rsid w:val="00DD4A2A"/>
    <w:rsid w:val="00DE5399"/>
    <w:rsid w:val="00DE7593"/>
    <w:rsid w:val="00DF3421"/>
    <w:rsid w:val="00DF6C05"/>
    <w:rsid w:val="00E141D3"/>
    <w:rsid w:val="00E407A9"/>
    <w:rsid w:val="00E6179E"/>
    <w:rsid w:val="00E620D0"/>
    <w:rsid w:val="00E76A0C"/>
    <w:rsid w:val="00E9757E"/>
    <w:rsid w:val="00EA01A2"/>
    <w:rsid w:val="00EA6CD9"/>
    <w:rsid w:val="00EB11FA"/>
    <w:rsid w:val="00EC0340"/>
    <w:rsid w:val="00EC6CD8"/>
    <w:rsid w:val="00EE7FBC"/>
    <w:rsid w:val="00F01D26"/>
    <w:rsid w:val="00F66B7C"/>
    <w:rsid w:val="00F7503D"/>
    <w:rsid w:val="00FE66FB"/>
    <w:rsid w:val="02671768"/>
    <w:rsid w:val="04032903"/>
    <w:rsid w:val="0B8451C7"/>
    <w:rsid w:val="0DDF28E5"/>
    <w:rsid w:val="12121B4F"/>
    <w:rsid w:val="158D0E46"/>
    <w:rsid w:val="292F265F"/>
    <w:rsid w:val="2A461F39"/>
    <w:rsid w:val="2AF65714"/>
    <w:rsid w:val="2C37797E"/>
    <w:rsid w:val="2C475FE3"/>
    <w:rsid w:val="2F74245B"/>
    <w:rsid w:val="320355CD"/>
    <w:rsid w:val="369869DE"/>
    <w:rsid w:val="395A4FD8"/>
    <w:rsid w:val="3F26206F"/>
    <w:rsid w:val="41E839FB"/>
    <w:rsid w:val="446C6890"/>
    <w:rsid w:val="45F5583E"/>
    <w:rsid w:val="4A232A38"/>
    <w:rsid w:val="505D7677"/>
    <w:rsid w:val="50BB64D4"/>
    <w:rsid w:val="514E59DC"/>
    <w:rsid w:val="54AD0445"/>
    <w:rsid w:val="563571C7"/>
    <w:rsid w:val="5A163C24"/>
    <w:rsid w:val="5E3A6A6E"/>
    <w:rsid w:val="604F4E8B"/>
    <w:rsid w:val="60B8647E"/>
    <w:rsid w:val="62377985"/>
    <w:rsid w:val="67610EAC"/>
    <w:rsid w:val="677070E3"/>
    <w:rsid w:val="6984405B"/>
    <w:rsid w:val="6BCA7E8B"/>
    <w:rsid w:val="78C31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仿宋_GB2312" w:hAnsi="仿宋_GB2312" w:eastAsia="仿宋_GB2312"/>
      <w:kern w:val="2"/>
      <w:sz w:val="18"/>
      <w:szCs w:val="18"/>
    </w:rPr>
  </w:style>
  <w:style w:type="character" w:customStyle="1" w:styleId="7">
    <w:name w:val="页脚 Char"/>
    <w:basedOn w:val="5"/>
    <w:link w:val="2"/>
    <w:qFormat/>
    <w:uiPriority w:val="99"/>
    <w:rPr>
      <w:rFonts w:ascii="仿宋_GB2312" w:hAnsi="仿宋_GB2312" w:eastAsia="仿宋_GB2312"/>
      <w:kern w:val="2"/>
      <w:sz w:val="18"/>
      <w:szCs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683A2E-CA64-418F-9194-FD0334FC5CDE}">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8</Pages>
  <Words>3776</Words>
  <Characters>3826</Characters>
  <Lines>27</Lines>
  <Paragraphs>7</Paragraphs>
  <TotalTime>8</TotalTime>
  <ScaleCrop>false</ScaleCrop>
  <LinksUpToDate>false</LinksUpToDate>
  <CharactersWithSpaces>3862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2023-11-09T07:57:00Z</dcterms:created>
  <dc:creator>DELL</dc:creator>
  <cp:lastModifiedBy>WPS_1649667543</cp:lastModifiedBy>
  <cp:lastPrinted>2026-03-25T00:39:00Z</cp:lastPrinted>
  <dcterms:modified xsi:type="dcterms:W3CDTF">2026-03-25T04:58:55Z</dcterms:modified>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710F5F791F204C5FAD24B21464D05BE9</vt:lpwstr>
  </property>
  <property fmtid="{D5CDD505-2E9C-101B-9397-08002B2CF9AE}" pid="4" name="KSOTemplateDocerSaveRecord">
    <vt:lpwstr>eyJoZGlkIjoiYWE0MGExMDEwYWE1ZjQ4MDg2ZWU5Y2Q1MzJjNDhiMjEiLCJ1c2VySWQiOiIxMzYxMzg3ODcxIn0=</vt:lpwstr>
  </property>
</Properties>
</file>