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sz w:val="44"/>
          <w:szCs w:val="44"/>
          <w:shd w:val="clear" w:color="auto" w:fill="FFFFFF"/>
        </w:rPr>
      </w:pPr>
      <w:bookmarkStart w:id="0" w:name="_GoBack"/>
      <w:bookmarkEnd w:id="0"/>
    </w:p>
    <w:p>
      <w:pPr>
        <w:spacing w:line="600" w:lineRule="exact"/>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sz w:val="44"/>
          <w:szCs w:val="44"/>
          <w:shd w:val="clear" w:color="auto" w:fill="FFFFFF"/>
        </w:rPr>
        <w:t>《山东省养老机构综合监管办法》政策解读</w:t>
      </w:r>
    </w:p>
    <w:p>
      <w:pPr>
        <w:spacing w:line="600" w:lineRule="exact"/>
        <w:ind w:firstLine="660"/>
        <w:rPr>
          <w:rFonts w:ascii="黑体" w:hAnsi="黑体" w:eastAsia="黑体"/>
        </w:rPr>
      </w:pPr>
    </w:p>
    <w:p>
      <w:pPr>
        <w:spacing w:line="600" w:lineRule="exact"/>
        <w:ind w:firstLine="660"/>
        <w:rPr>
          <w:rFonts w:ascii="黑体" w:hAnsi="黑体" w:eastAsia="黑体"/>
        </w:rPr>
      </w:pPr>
      <w:r>
        <w:rPr>
          <w:rFonts w:hint="eastAsia" w:ascii="黑体" w:hAnsi="黑体" w:eastAsia="黑体"/>
        </w:rPr>
        <w:t>一、起草背景</w:t>
      </w:r>
    </w:p>
    <w:p>
      <w:pPr>
        <w:spacing w:line="600" w:lineRule="exact"/>
        <w:ind w:firstLine="660"/>
        <w:rPr>
          <w:rFonts w:ascii="仿宋_GB2312" w:hAnsi="仿宋_GB2312" w:cs="仿宋_GB2312"/>
        </w:rPr>
      </w:pPr>
      <w:r>
        <w:rPr>
          <w:rFonts w:hint="eastAsia" w:ascii="仿宋_GB2312" w:hAnsi="黑体"/>
        </w:rPr>
        <w:t>2022年，按照省政府在重点民生领域开展“综合监管一件事”试点的部署安排，我们</w:t>
      </w:r>
      <w:r>
        <w:rPr>
          <w:rFonts w:hint="eastAsia" w:ascii="仿宋_GB2312"/>
        </w:rPr>
        <w:t>制定下发了《关于开展养老服务领域“综合监管一件事”试点工作的通知》，在5个市开展试点，形成改革成果，</w:t>
      </w:r>
      <w:r>
        <w:rPr>
          <w:rFonts w:hint="eastAsia" w:ascii="仿宋_GB2312" w:hAnsi="黑体"/>
        </w:rPr>
        <w:t>省“双随机、一公开”监管工作联席会议办公室通报表扬</w:t>
      </w:r>
      <w:r>
        <w:rPr>
          <w:rFonts w:hint="eastAsia" w:ascii="仿宋_GB2312"/>
        </w:rPr>
        <w:t>东营市做法</w:t>
      </w:r>
      <w:r>
        <w:rPr>
          <w:rFonts w:hint="eastAsia" w:ascii="仿宋_GB2312" w:hAnsi="黑体"/>
        </w:rPr>
        <w:t>。今年，省“双随机、一公开”监管工作联席会议办公室要求“在去年基础上全面推广应用”，结合我省实际，我厅进一步提高标准，将原定出台一般性文件升级为规范性文件，形成了本</w:t>
      </w:r>
      <w:r>
        <w:rPr>
          <w:rFonts w:hint="eastAsia" w:ascii="仿宋_GB2312" w:hAnsi="仿宋_GB2312" w:cs="仿宋_GB2312"/>
        </w:rPr>
        <w:t>办法。</w:t>
      </w:r>
    </w:p>
    <w:p>
      <w:pPr>
        <w:pStyle w:val="2"/>
        <w:spacing w:line="600" w:lineRule="exact"/>
        <w:ind w:firstLine="640" w:firstLineChars="200"/>
        <w:rPr>
          <w:rFonts w:ascii="黑体" w:hAnsi="黑体" w:eastAsia="黑体"/>
        </w:rPr>
      </w:pPr>
      <w:r>
        <w:rPr>
          <w:rFonts w:ascii="黑体" w:hAnsi="黑体" w:eastAsia="黑体"/>
        </w:rPr>
        <w:t>二、制定依据</w:t>
      </w:r>
    </w:p>
    <w:p>
      <w:pPr>
        <w:spacing w:line="600" w:lineRule="exact"/>
        <w:ind w:firstLine="640" w:firstLineChars="200"/>
        <w:rPr>
          <w:rFonts w:ascii="仿宋_GB2312" w:hAnsi="Calibri" w:cs="宋体"/>
          <w:color w:val="000000" w:themeColor="text1"/>
          <w14:textFill>
            <w14:solidFill>
              <w14:schemeClr w14:val="tx1"/>
            </w14:solidFill>
          </w14:textFill>
        </w:rPr>
      </w:pPr>
      <w:r>
        <w:rPr>
          <w:rFonts w:hint="eastAsia" w:ascii="仿宋_GB2312" w:hAnsi="Calibri" w:cs="宋体"/>
          <w:color w:val="000000" w:themeColor="text1"/>
          <w14:textFill>
            <w14:solidFill>
              <w14:schemeClr w14:val="tx1"/>
            </w14:solidFill>
          </w14:textFill>
        </w:rPr>
        <w:t>（一）《中华人民共和国老年人权益保障法》</w:t>
      </w:r>
    </w:p>
    <w:p>
      <w:pPr>
        <w:spacing w:line="600" w:lineRule="exact"/>
        <w:ind w:firstLine="640" w:firstLineChars="200"/>
        <w:rPr>
          <w:rFonts w:ascii="仿宋_GB2312" w:hAnsi="Calibri" w:cs="宋体"/>
          <w:color w:val="000000" w:themeColor="text1"/>
          <w14:textFill>
            <w14:solidFill>
              <w14:schemeClr w14:val="tx1"/>
            </w14:solidFill>
          </w14:textFill>
        </w:rPr>
      </w:pPr>
      <w:r>
        <w:rPr>
          <w:rFonts w:ascii="仿宋_GB2312" w:hAnsi="Calibri" w:cs="宋体"/>
          <w:color w:val="000000" w:themeColor="text1"/>
          <w14:textFill>
            <w14:solidFill>
              <w14:schemeClr w14:val="tx1"/>
            </w14:solidFill>
          </w14:textFill>
        </w:rPr>
        <w:t>（二）</w:t>
      </w:r>
      <w:r>
        <w:rPr>
          <w:rFonts w:hint="eastAsia" w:ascii="仿宋_GB2312" w:hAnsi="Calibri" w:cs="宋体"/>
          <w:color w:val="000000" w:themeColor="text1"/>
          <w14:textFill>
            <w14:solidFill>
              <w14:schemeClr w14:val="tx1"/>
            </w14:solidFill>
          </w14:textFill>
        </w:rPr>
        <w:t>《国务院办公厅关于建立健全养老服务综合监管制度促进养老服务高质量发展的意见》（国办发〔2020〕48号）</w:t>
      </w:r>
    </w:p>
    <w:p>
      <w:pPr>
        <w:spacing w:line="600" w:lineRule="exact"/>
        <w:ind w:firstLine="640" w:firstLineChars="200"/>
        <w:rPr>
          <w:rFonts w:ascii="仿宋_GB2312" w:hAnsi="Calibri" w:cs="宋体"/>
          <w:color w:val="000000" w:themeColor="text1"/>
          <w14:textFill>
            <w14:solidFill>
              <w14:schemeClr w14:val="tx1"/>
            </w14:solidFill>
          </w14:textFill>
        </w:rPr>
      </w:pPr>
      <w:r>
        <w:rPr>
          <w:rFonts w:ascii="仿宋_GB2312" w:hAnsi="Calibri" w:cs="宋体"/>
          <w:color w:val="000000" w:themeColor="text1"/>
          <w14:textFill>
            <w14:solidFill>
              <w14:schemeClr w14:val="tx1"/>
            </w14:solidFill>
          </w14:textFill>
        </w:rPr>
        <w:t>（三）</w:t>
      </w:r>
      <w:r>
        <w:rPr>
          <w:rFonts w:hint="eastAsia" w:ascii="仿宋_GB2312" w:hAnsi="Calibri" w:cs="宋体"/>
          <w:color w:val="000000" w:themeColor="text1"/>
          <w14:textFill>
            <w14:solidFill>
              <w14:schemeClr w14:val="tx1"/>
            </w14:solidFill>
          </w14:textFill>
        </w:rPr>
        <w:t>《养老机构管理办法》</w:t>
      </w:r>
    </w:p>
    <w:p>
      <w:pPr>
        <w:spacing w:line="600" w:lineRule="exact"/>
        <w:ind w:firstLine="640" w:firstLineChars="200"/>
        <w:rPr>
          <w:rFonts w:ascii="仿宋_GB2312" w:hAnsi="Calibri" w:cs="宋体"/>
          <w:color w:val="000000" w:themeColor="text1"/>
          <w14:textFill>
            <w14:solidFill>
              <w14:schemeClr w14:val="tx1"/>
            </w14:solidFill>
          </w14:textFill>
        </w:rPr>
      </w:pPr>
      <w:r>
        <w:rPr>
          <w:rFonts w:ascii="仿宋_GB2312" w:hAnsi="Calibri" w:cs="宋体"/>
          <w:color w:val="000000" w:themeColor="text1"/>
          <w14:textFill>
            <w14:solidFill>
              <w14:schemeClr w14:val="tx1"/>
            </w14:solidFill>
          </w14:textFill>
        </w:rPr>
        <w:t>（四）</w:t>
      </w:r>
      <w:r>
        <w:rPr>
          <w:rFonts w:hint="eastAsia" w:ascii="仿宋_GB2312" w:hAnsi="Calibri" w:cs="宋体"/>
          <w:color w:val="000000" w:themeColor="text1"/>
          <w14:textFill>
            <w14:solidFill>
              <w14:schemeClr w14:val="tx1"/>
            </w14:solidFill>
          </w14:textFill>
        </w:rPr>
        <w:t>《山东省养老服务条例》</w:t>
      </w:r>
    </w:p>
    <w:p>
      <w:pPr>
        <w:spacing w:line="600" w:lineRule="exact"/>
        <w:ind w:firstLine="640" w:firstLineChars="200"/>
        <w:rPr>
          <w:rFonts w:ascii="仿宋_GB2312" w:hAnsi="仿宋" w:cs="仿宋"/>
        </w:rPr>
      </w:pPr>
      <w:r>
        <w:t>（五）</w:t>
      </w:r>
      <w:r>
        <w:rPr>
          <w:rFonts w:hint="eastAsia" w:ascii="仿宋_GB2312" w:hAnsi="仿宋" w:cs="仿宋"/>
        </w:rPr>
        <w:t>涉及1</w:t>
      </w:r>
      <w:r>
        <w:rPr>
          <w:rFonts w:ascii="仿宋_GB2312" w:hAnsi="仿宋" w:cs="仿宋"/>
        </w:rPr>
        <w:t>3个重点监管事项</w:t>
      </w:r>
      <w:r>
        <w:rPr>
          <w:rFonts w:hint="eastAsia" w:ascii="仿宋_GB2312" w:hAnsi="仿宋" w:cs="仿宋"/>
        </w:rPr>
        <w:t>2</w:t>
      </w:r>
      <w:r>
        <w:rPr>
          <w:rFonts w:ascii="仿宋_GB2312" w:hAnsi="仿宋" w:cs="仿宋"/>
        </w:rPr>
        <w:t>5个具体事项的</w:t>
      </w:r>
      <w:r>
        <w:rPr>
          <w:rFonts w:hint="eastAsia" w:ascii="仿宋_GB2312" w:hAnsi="仿宋" w:cs="仿宋"/>
        </w:rPr>
        <w:t>法律、法规、规章、制度文件及标准规范共6</w:t>
      </w:r>
      <w:r>
        <w:rPr>
          <w:rFonts w:ascii="仿宋_GB2312" w:hAnsi="仿宋" w:cs="仿宋"/>
        </w:rPr>
        <w:t>6部</w:t>
      </w:r>
    </w:p>
    <w:p>
      <w:pPr>
        <w:spacing w:line="600" w:lineRule="exact"/>
        <w:ind w:firstLine="640" w:firstLineChars="200"/>
        <w:rPr>
          <w:rFonts w:ascii="黑体" w:hAnsi="黑体" w:eastAsia="黑体"/>
        </w:rPr>
      </w:pPr>
      <w:r>
        <w:rPr>
          <w:rFonts w:ascii="黑体" w:hAnsi="黑体" w:eastAsia="黑体"/>
        </w:rPr>
        <w:t>三、出台目的</w:t>
      </w:r>
    </w:p>
    <w:p>
      <w:pPr>
        <w:spacing w:line="600" w:lineRule="exact"/>
        <w:ind w:firstLine="640" w:firstLineChars="200"/>
        <w:rPr>
          <w:rFonts w:ascii="仿宋_GB2312" w:hAnsi="仿宋_GB2312" w:cs="仿宋_GB2312"/>
        </w:rPr>
      </w:pPr>
      <w:r>
        <w:rPr>
          <w:rFonts w:hint="eastAsia" w:ascii="仿宋_GB2312" w:hAnsi="仿宋_GB2312" w:cs="仿宋_GB2312"/>
        </w:rPr>
        <w:t>《办法》的出台，</w:t>
      </w:r>
      <w:r>
        <w:rPr>
          <w:rFonts w:hint="eastAsia" w:ascii="仿宋_GB2312" w:hAnsi="Calibri" w:cs="宋体"/>
          <w:color w:val="000000" w:themeColor="text1"/>
          <w14:textFill>
            <w14:solidFill>
              <w14:schemeClr w14:val="tx1"/>
            </w14:solidFill>
          </w14:textFill>
        </w:rPr>
        <w:t>以实现“监管对象全覆盖、监管要素全参与、监管流程全闭环、监管执法全协同、监管数据全共享、监管结果全公开”</w:t>
      </w:r>
      <w:r>
        <w:rPr>
          <w:rFonts w:hint="eastAsia" w:ascii="仿宋_GB2312" w:hAnsi="黑体" w:cs="宋体"/>
          <w:color w:val="000000" w:themeColor="text1"/>
          <w14:textFill>
            <w14:solidFill>
              <w14:schemeClr w14:val="tx1"/>
            </w14:solidFill>
          </w14:textFill>
        </w:rPr>
        <w:t>为目标，</w:t>
      </w:r>
      <w:r>
        <w:rPr>
          <w:rFonts w:hint="eastAsia" w:ascii="仿宋_GB2312" w:hAnsi="仿宋_GB2312" w:cs="仿宋_GB2312"/>
        </w:rPr>
        <w:t>进一步明确部门职责、加强协同配合、形成监管合力，</w:t>
      </w:r>
      <w:r>
        <w:rPr>
          <w:rFonts w:hint="eastAsia" w:ascii="仿宋_GB2312" w:hAnsi="Calibri" w:cs="宋体"/>
          <w:color w:val="000000" w:themeColor="text1"/>
          <w14:textFill>
            <w14:solidFill>
              <w14:schemeClr w14:val="tx1"/>
            </w14:solidFill>
          </w14:textFill>
        </w:rPr>
        <w:t>不断提升全省养老机构综合监管水平，推动</w:t>
      </w:r>
      <w:r>
        <w:rPr>
          <w:rFonts w:ascii="仿宋_GB2312" w:hAnsi="Calibri" w:cs="宋体"/>
          <w:color w:val="000000" w:themeColor="text1"/>
          <w14:textFill>
            <w14:solidFill>
              <w14:schemeClr w14:val="tx1"/>
            </w14:solidFill>
          </w14:textFill>
        </w:rPr>
        <w:t>监管协同化</w:t>
      </w:r>
      <w:r>
        <w:rPr>
          <w:rFonts w:hint="eastAsia" w:ascii="仿宋_GB2312" w:hAnsi="Calibri" w:cs="宋体"/>
          <w:color w:val="000000" w:themeColor="text1"/>
          <w14:textFill>
            <w14:solidFill>
              <w14:schemeClr w14:val="tx1"/>
            </w14:solidFill>
          </w14:textFill>
        </w:rPr>
        <w:t>、规范化、精细化，</w:t>
      </w:r>
      <w:r>
        <w:rPr>
          <w:rFonts w:hint="eastAsia" w:ascii="仿宋_GB2312" w:hAnsi="仿宋_GB2312" w:cs="仿宋_GB2312"/>
        </w:rPr>
        <w:t>为推动全省养老工作高质量发展提供有力保障。</w:t>
      </w:r>
    </w:p>
    <w:p>
      <w:pPr>
        <w:snapToGrid w:val="0"/>
        <w:spacing w:line="600" w:lineRule="exact"/>
        <w:ind w:firstLine="640" w:firstLineChars="200"/>
        <w:rPr>
          <w:rFonts w:ascii="黑体" w:hAnsi="黑体" w:eastAsia="黑体"/>
        </w:rPr>
      </w:pPr>
      <w:r>
        <w:rPr>
          <w:rFonts w:hint="eastAsia" w:ascii="黑体" w:hAnsi="黑体" w:eastAsia="黑体"/>
        </w:rPr>
        <w:t>四、主要内容和特色亮点</w:t>
      </w:r>
    </w:p>
    <w:p>
      <w:pPr>
        <w:spacing w:line="600" w:lineRule="exact"/>
        <w:ind w:firstLine="640" w:firstLineChars="200"/>
        <w:rPr>
          <w:rFonts w:ascii="仿宋_GB2312" w:hAnsi="仿宋" w:cs="仿宋"/>
        </w:rPr>
      </w:pPr>
      <w:r>
        <w:rPr>
          <w:rFonts w:hint="eastAsia" w:ascii="仿宋_GB2312" w:hAnsi="仿宋" w:cs="仿宋"/>
        </w:rPr>
        <w:t>《办法》共七章四十一条，包括总则、监管对象纳入与退出、重点监管事项及分工、主要监管方式、监管实施要求、保障措施、附则等七个章节。《办法》的主要内容和创新点主要体现在四个方面：</w:t>
      </w:r>
    </w:p>
    <w:p>
      <w:pPr>
        <w:spacing w:line="600" w:lineRule="exact"/>
        <w:ind w:firstLine="640" w:firstLineChars="200"/>
        <w:rPr>
          <w:rFonts w:ascii="仿宋_GB2312" w:hAnsi="仿宋_GB2312" w:cs="仿宋_GB2312"/>
        </w:rPr>
      </w:pPr>
      <w:r>
        <w:rPr>
          <w:rFonts w:hint="eastAsia" w:ascii="楷体_GB2312" w:hAnsi="仿宋" w:eastAsia="楷体_GB2312" w:cs="仿宋"/>
        </w:rPr>
        <w:t>（一）弥补了我省养老服务综合监管文件的空白点。</w:t>
      </w:r>
      <w:r>
        <w:rPr>
          <w:rFonts w:hint="eastAsia" w:ascii="仿宋_GB2312" w:hAnsi="仿宋" w:cs="仿宋"/>
        </w:rPr>
        <w:t>目前，养老服务综合监管的政策规定散落在多个文件中，尚未形成系统性的政策规定。《办法》以“</w:t>
      </w:r>
      <w:r>
        <w:rPr>
          <w:rFonts w:hint="eastAsia" w:ascii="仿宋_GB2312"/>
        </w:rPr>
        <w:t>监管对象全覆盖、监管要素全参与、监管流程全闭环、监管执法全协同、监管数据全共享、监管结果全公开</w:t>
      </w:r>
      <w:r>
        <w:rPr>
          <w:rFonts w:hint="eastAsia" w:ascii="仿宋_GB2312" w:hAnsi="仿宋" w:cs="仿宋"/>
        </w:rPr>
        <w:t>”为导向，对监管对象、部门职责、监管事项、监管方式等重点工作进行了全面梳理和系统集成，</w:t>
      </w:r>
      <w:r>
        <w:rPr>
          <w:rFonts w:hint="eastAsia" w:ascii="仿宋_GB2312" w:hAnsi="仿宋_GB2312" w:cs="仿宋_GB2312"/>
        </w:rPr>
        <w:t>是我省养老服务综合监管的第一个规范性、系统性文件。</w:t>
      </w:r>
    </w:p>
    <w:p>
      <w:pPr>
        <w:spacing w:line="600" w:lineRule="exact"/>
        <w:ind w:firstLine="640" w:firstLineChars="200"/>
        <w:rPr>
          <w:rFonts w:ascii="仿宋_GB2312" w:hAnsi="仿宋" w:cs="仿宋"/>
        </w:rPr>
      </w:pPr>
      <w:r>
        <w:rPr>
          <w:rFonts w:hint="eastAsia" w:ascii="楷体_GB2312" w:hAnsi="仿宋" w:eastAsia="楷体_GB2312" w:cs="仿宋"/>
        </w:rPr>
        <w:t>（二）实现了监管部门和对象的全覆盖。</w:t>
      </w:r>
      <w:r>
        <w:rPr>
          <w:rFonts w:hint="eastAsia" w:ascii="仿宋_GB2312" w:hAnsi="仿宋" w:cs="仿宋"/>
        </w:rPr>
        <w:t>一方面，统筹考虑养老服务机构的建设、登记、运营、退出的全生命周期，明确了2</w:t>
      </w:r>
      <w:r>
        <w:rPr>
          <w:rFonts w:ascii="仿宋_GB2312" w:hAnsi="仿宋" w:cs="仿宋"/>
        </w:rPr>
        <w:t>1</w:t>
      </w:r>
      <w:r>
        <w:rPr>
          <w:rFonts w:hint="eastAsia" w:ascii="仿宋_GB2312" w:hAnsi="仿宋" w:cs="仿宋"/>
        </w:rPr>
        <w:t>个部门的具体监管职责，改变了以往重运营服务、轻建设退出的问题。另一方面，既建立起与市场监管、行政审批等部门的主体</w:t>
      </w:r>
      <w:r>
        <w:rPr>
          <w:rFonts w:ascii="仿宋_GB2312" w:hAnsi="仿宋" w:cs="仿宋"/>
        </w:rPr>
        <w:t>登记信息共享机制，</w:t>
      </w:r>
      <w:r>
        <w:rPr>
          <w:rFonts w:hint="eastAsia" w:ascii="仿宋_GB2312" w:hAnsi="仿宋" w:cs="仿宋"/>
        </w:rPr>
        <w:t>将</w:t>
      </w:r>
      <w:r>
        <w:rPr>
          <w:rFonts w:ascii="仿宋_GB2312" w:hAnsi="仿宋" w:cs="仿宋"/>
        </w:rPr>
        <w:t>登记主体纳入监管范围，又着重</w:t>
      </w:r>
      <w:r>
        <w:rPr>
          <w:rFonts w:hint="eastAsia" w:ascii="仿宋_GB2312" w:hAnsi="仿宋" w:cs="仿宋"/>
        </w:rPr>
        <w:t>打击</w:t>
      </w:r>
      <w:r>
        <w:rPr>
          <w:rFonts w:ascii="仿宋_GB2312" w:hAnsi="仿宋" w:cs="仿宋"/>
        </w:rPr>
        <w:t>无证无照行为，规范养老服务市场运营秩序</w:t>
      </w:r>
      <w:r>
        <w:rPr>
          <w:rFonts w:hint="eastAsia" w:ascii="仿宋_GB2312" w:hAnsi="仿宋" w:cs="仿宋"/>
        </w:rPr>
        <w:t>。</w:t>
      </w:r>
    </w:p>
    <w:p>
      <w:pPr>
        <w:spacing w:line="600" w:lineRule="exact"/>
        <w:ind w:firstLine="640" w:firstLineChars="200"/>
        <w:rPr>
          <w:rFonts w:ascii="仿宋_GB2312" w:hAnsi="仿宋" w:cs="仿宋"/>
        </w:rPr>
      </w:pPr>
      <w:r>
        <w:rPr>
          <w:rFonts w:hint="eastAsia" w:ascii="楷体_GB2312" w:hAnsi="仿宋" w:eastAsia="楷体_GB2312" w:cs="仿宋"/>
        </w:rPr>
        <w:t>（三）推进了监管事项和场景的全流程。</w:t>
      </w:r>
      <w:r>
        <w:rPr>
          <w:rFonts w:hint="eastAsia" w:ascii="仿宋_GB2312" w:hAnsi="仿宋" w:cs="仿宋"/>
        </w:rPr>
        <w:t>聚焦当前养老服务机构多发易发风险隐患，《办法》建立起涵盖</w:t>
      </w:r>
      <w:r>
        <w:rPr>
          <w:rFonts w:hint="eastAsia" w:ascii="仿宋_GB2312"/>
          <w:kern w:val="0"/>
        </w:rPr>
        <w:t>事前、事中、事后的全链条监管机制，</w:t>
      </w:r>
      <w:r>
        <w:rPr>
          <w:rFonts w:hint="eastAsia" w:ascii="仿宋_GB2312" w:hAnsi="仿宋" w:cs="仿宋"/>
        </w:rPr>
        <w:t>提出了1</w:t>
      </w:r>
      <w:r>
        <w:rPr>
          <w:rFonts w:ascii="仿宋_GB2312" w:hAnsi="仿宋" w:cs="仿宋"/>
        </w:rPr>
        <w:t>3</w:t>
      </w:r>
      <w:r>
        <w:rPr>
          <w:rFonts w:hint="eastAsia" w:ascii="仿宋_GB2312" w:hAnsi="仿宋" w:cs="仿宋"/>
        </w:rPr>
        <w:t>个重点监管事项2</w:t>
      </w:r>
      <w:r>
        <w:rPr>
          <w:rFonts w:ascii="仿宋_GB2312" w:hAnsi="仿宋" w:cs="仿宋"/>
        </w:rPr>
        <w:t>5个具体事项</w:t>
      </w:r>
      <w:r>
        <w:rPr>
          <w:rFonts w:hint="eastAsia" w:ascii="仿宋_GB2312" w:hAnsi="仿宋" w:cs="仿宋"/>
        </w:rPr>
        <w:t>，明确了具体监管要求，全面</w:t>
      </w:r>
      <w:r>
        <w:rPr>
          <w:rFonts w:ascii="仿宋_GB2312" w:hAnsi="仿宋" w:cs="仿宋"/>
        </w:rPr>
        <w:t>压实机构</w:t>
      </w:r>
      <w:r>
        <w:rPr>
          <w:rFonts w:hint="eastAsia" w:ascii="仿宋_GB2312" w:hAnsi="仿宋" w:cs="仿宋"/>
        </w:rPr>
        <w:t>和部门</w:t>
      </w:r>
      <w:r>
        <w:rPr>
          <w:rFonts w:ascii="仿宋_GB2312" w:hAnsi="仿宋" w:cs="仿宋"/>
        </w:rPr>
        <w:t>在</w:t>
      </w:r>
      <w:r>
        <w:rPr>
          <w:rFonts w:hint="eastAsia" w:ascii="仿宋_GB2312" w:hAnsi="仿宋" w:cs="仿宋"/>
        </w:rPr>
        <w:t>注册</w:t>
      </w:r>
      <w:r>
        <w:rPr>
          <w:rFonts w:ascii="仿宋_GB2312" w:hAnsi="仿宋" w:cs="仿宋"/>
        </w:rPr>
        <w:t>登记、备案承诺、运营服务、质量安全、人员管理、规划用地、资金使用、应急处置等方面的责任</w:t>
      </w:r>
      <w:r>
        <w:rPr>
          <w:rFonts w:hint="eastAsia" w:ascii="仿宋_GB2312" w:hAnsi="仿宋" w:cs="仿宋"/>
        </w:rPr>
        <w:t>。</w:t>
      </w:r>
    </w:p>
    <w:p>
      <w:pPr>
        <w:spacing w:line="600" w:lineRule="exact"/>
        <w:ind w:firstLine="640" w:firstLineChars="200"/>
        <w:rPr>
          <w:rFonts w:ascii="仿宋_GB2312" w:hAnsi="仿宋" w:cs="仿宋"/>
        </w:rPr>
      </w:pPr>
      <w:r>
        <w:rPr>
          <w:rFonts w:hint="eastAsia" w:ascii="楷体_GB2312" w:hAnsi="仿宋" w:eastAsia="楷体_GB2312" w:cs="仿宋"/>
        </w:rPr>
        <w:t>（四）强化了监管手段和方式的协同化。</w:t>
      </w:r>
      <w:r>
        <w:rPr>
          <w:rFonts w:hint="eastAsia" w:ascii="仿宋_GB2312" w:hAnsi="仿宋" w:cs="仿宋"/>
        </w:rPr>
        <w:t>《办法》进一步突出了信用监管、互联网监管等手段的应用，整合共享多部门执法信息，</w:t>
      </w:r>
      <w:r>
        <w:rPr>
          <w:rFonts w:hint="eastAsia" w:ascii="仿宋_GB2312"/>
          <w:color w:val="000000"/>
          <w:shd w:val="clear" w:color="auto" w:fill="FFFFFF"/>
        </w:rPr>
        <w:t>实现</w:t>
      </w:r>
      <w:r>
        <w:rPr>
          <w:rFonts w:hint="eastAsia" w:ascii="仿宋_GB2312" w:hAnsi="仿宋" w:cs="仿宋"/>
        </w:rPr>
        <w:t>违法线索互联、处理结果互认。同时，</w:t>
      </w:r>
      <w:r>
        <w:rPr>
          <w:rFonts w:ascii="仿宋_GB2312" w:hAnsi="仿宋" w:cs="仿宋"/>
        </w:rPr>
        <w:t>最大限度合并检查事项，推进</w:t>
      </w:r>
      <w:r>
        <w:rPr>
          <w:rFonts w:hint="eastAsia" w:ascii="仿宋_GB2312" w:hAnsi="仿宋" w:cs="仿宋"/>
        </w:rPr>
        <w:t>“</w:t>
      </w:r>
      <w:r>
        <w:rPr>
          <w:rFonts w:ascii="仿宋_GB2312" w:hAnsi="仿宋" w:cs="仿宋"/>
        </w:rPr>
        <w:t>综合查一次”改革，积极减少对养老机构的干扰，促进综合监管效能提升。</w:t>
      </w:r>
    </w:p>
    <w:p>
      <w:pPr>
        <w:widowControl/>
        <w:spacing w:line="600" w:lineRule="exact"/>
        <w:ind w:left="-960" w:leftChars="-300" w:right="-960" w:rightChars="-300" w:firstLine="822" w:firstLineChars="300"/>
        <w:rPr>
          <w:rFonts w:ascii="仿宋_GB2312" w:hAnsi="黑体" w:cs="方正仿宋_GBK"/>
          <w:bCs/>
          <w:spacing w:val="-3"/>
          <w:sz w:val="28"/>
          <w:szCs w:val="28"/>
        </w:rPr>
      </w:pPr>
    </w:p>
    <w:p>
      <w:pPr>
        <w:pStyle w:val="2"/>
        <w:rPr>
          <w:rFonts w:hint="eastAsia"/>
        </w:rPr>
      </w:pPr>
    </w:p>
    <w:sectPr>
      <w:footerReference r:id="rId3" w:type="default"/>
      <w:pgSz w:w="11906" w:h="16838"/>
      <w:pgMar w:top="1440" w:right="1800"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魏碑_GBK">
    <w:altName w:val="宋体"/>
    <w:panose1 w:val="00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heme="minorEastAsia" w:hAnsiTheme="minorEastAsia" w:eastAsia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23</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23</w:t>
                    </w:r>
                    <w:r>
                      <w:rPr>
                        <w:rFonts w:hint="eastAsia" w:ascii="宋体" w:hAnsi="宋体" w:eastAsia="宋体" w:cs="宋体"/>
                        <w:sz w:val="28"/>
                        <w:szCs w:val="28"/>
                      </w:rPr>
                      <w:fldChar w:fldCharType="end"/>
                    </w: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lNzgzYTkxZWNlZTY2NTczNzZkNzlmZjUyOGNhYjgifQ=="/>
  </w:docVars>
  <w:rsids>
    <w:rsidRoot w:val="00134471"/>
    <w:rsid w:val="000501FC"/>
    <w:rsid w:val="00096204"/>
    <w:rsid w:val="000D10E2"/>
    <w:rsid w:val="000F7CB6"/>
    <w:rsid w:val="00134471"/>
    <w:rsid w:val="001B033F"/>
    <w:rsid w:val="001C3A75"/>
    <w:rsid w:val="002A3D4F"/>
    <w:rsid w:val="0039528D"/>
    <w:rsid w:val="003B7A2B"/>
    <w:rsid w:val="003C6ECC"/>
    <w:rsid w:val="00423EC2"/>
    <w:rsid w:val="004C0CCD"/>
    <w:rsid w:val="00516638"/>
    <w:rsid w:val="005377A1"/>
    <w:rsid w:val="00552CD4"/>
    <w:rsid w:val="0067365C"/>
    <w:rsid w:val="006A2E65"/>
    <w:rsid w:val="007B3117"/>
    <w:rsid w:val="0087414A"/>
    <w:rsid w:val="0094030E"/>
    <w:rsid w:val="009736D9"/>
    <w:rsid w:val="009D0821"/>
    <w:rsid w:val="009F3AD2"/>
    <w:rsid w:val="00A674CC"/>
    <w:rsid w:val="00B0388F"/>
    <w:rsid w:val="00B200FF"/>
    <w:rsid w:val="00CA4455"/>
    <w:rsid w:val="00CC654E"/>
    <w:rsid w:val="00CF746A"/>
    <w:rsid w:val="00D21476"/>
    <w:rsid w:val="00DA2642"/>
    <w:rsid w:val="00E1320E"/>
    <w:rsid w:val="00E34FF8"/>
    <w:rsid w:val="00ED32B8"/>
    <w:rsid w:val="00F579A2"/>
    <w:rsid w:val="31F03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方正魏碑_GBK"/>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3">
    <w:name w:val="Balloon Text"/>
    <w:basedOn w:val="1"/>
    <w:link w:val="10"/>
    <w:semiHidden/>
    <w:unhideWhenUsed/>
    <w:qFormat/>
    <w:uiPriority w:val="99"/>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脚 Char"/>
    <w:basedOn w:val="8"/>
    <w:link w:val="4"/>
    <w:qFormat/>
    <w:uiPriority w:val="99"/>
    <w:rPr>
      <w:rFonts w:ascii="Times New Roman" w:hAnsi="Times New Roman" w:eastAsia="仿宋_GB2312" w:cs="方正魏碑_GBK"/>
      <w:sz w:val="18"/>
      <w:szCs w:val="18"/>
    </w:rPr>
  </w:style>
  <w:style w:type="character" w:customStyle="1" w:styleId="10">
    <w:name w:val="批注框文本 Char"/>
    <w:basedOn w:val="8"/>
    <w:link w:val="3"/>
    <w:semiHidden/>
    <w:qFormat/>
    <w:uiPriority w:val="99"/>
    <w:rPr>
      <w:rFonts w:ascii="Times New Roman" w:hAnsi="Times New Roman" w:eastAsia="仿宋_GB2312" w:cs="方正魏碑_GBK"/>
      <w:sz w:val="18"/>
      <w:szCs w:val="18"/>
    </w:rPr>
  </w:style>
  <w:style w:type="character" w:customStyle="1" w:styleId="11">
    <w:name w:val="页眉 Char"/>
    <w:basedOn w:val="8"/>
    <w:link w:val="5"/>
    <w:qFormat/>
    <w:uiPriority w:val="99"/>
    <w:rPr>
      <w:rFonts w:ascii="Times New Roman" w:hAnsi="Times New Roman" w:eastAsia="仿宋_GB2312" w:cs="方正魏碑_GBK"/>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1990</Words>
  <Characters>11349</Characters>
  <Lines>94</Lines>
  <Paragraphs>26</Paragraphs>
  <TotalTime>70</TotalTime>
  <ScaleCrop>false</ScaleCrop>
  <LinksUpToDate>false</LinksUpToDate>
  <CharactersWithSpaces>13313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2023-09-15T08:33:00Z</dcterms:created>
  <dc:creator>王强</dc:creator>
  <cp:lastModifiedBy>锦素</cp:lastModifiedBy>
  <dcterms:modified xsi:type="dcterms:W3CDTF">2023-09-26T01:55:20Z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2E73AFDE104D45E1981634A9B459F159_12</vt:lpwstr>
  </property>
</Properties>
</file>