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0" w:name="_Toc29847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</w:t>
      </w: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东省社会组织等级评估标准（2026版）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（行业协会商会</w:t>
      </w:r>
      <w:bookmarkEnd w:id="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</w:t>
      </w:r>
    </w:p>
    <w:tbl>
      <w:tblPr>
        <w:tblStyle w:val="3"/>
        <w:tblW w:w="49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98"/>
        <w:gridCol w:w="2880"/>
        <w:gridCol w:w="6913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双向进入、交叉任职及党组织参与社会团体“三重一大”决策情况、带动会员单位抓党建情况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推进安全生产、劳动保护、劳资和谐、节能减排、低碳生产等工作情况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服务行业发展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开展行业调查研究、行业信息统计收集与发布情况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举办会议及展览活动情况；组织行业培训情况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提供技术、市场、管理、法律、政策研究等咨询服务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参与制定法律法规、相关产业政策、行业发展规划或提出政策建议等情况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承接政府委托任务或购买服务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会员服务与管理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行业自律公约制定及发布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行业职业道德准则制定及发布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反映诉求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协调行业内外关系、反映会员和行业诉求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维护权益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维护行业利益情况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调解纠纷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参与调解行业纠纷情况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16"/>
          <w:szCs w:val="1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16"/>
          <w:szCs w:val="16"/>
          <w:lang w:bidi="ar"/>
        </w:rP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1" w:name="_Toc20768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（学术类社会团体）</w:t>
      </w:r>
    </w:p>
    <w:bookmarkEnd w:id="1"/>
    <w:tbl>
      <w:tblPr>
        <w:tblStyle w:val="3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科普活动及影响力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学术活动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学术会议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学术会议活跃度及学术论文交流情况；学术会议影响力及会议成效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学术书刊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学术书刊情况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学术研究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学术发展规划制定情况;承担和组织课题等学术研究情况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学术自律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学术自律制度制定与实施情况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国内国际交流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建议咨询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政策建议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参与制定法律法规、发展规划或提出政策建议等情况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提供咨询服务情况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开展技能人才评价工作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继续教育及培训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青年人才培养和专业人才举荐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社会评价(10分）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2" w:name="_Toc28007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（公益类社会团体）</w:t>
      </w:r>
    </w:p>
    <w:bookmarkEnd w:id="2"/>
    <w:tbl>
      <w:tblPr>
        <w:tblStyle w:val="3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公益项目规模，包括年度捐赠收入、年度公益事业支出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项目公益性和符合宗旨情况；项目受益人选择满足公开公平公正要求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项目执行方的合理选择、项目效果及持续性、项目风险防控情况；志愿者管理及发挥作用情况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参与制定法律法规、提出政策建议等情况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接政府委托任务和购买服务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调查研究情况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服务公益事业发展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会员服务与管理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3" w:name="_Toc29535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（民办非企业单位）</w:t>
      </w:r>
    </w:p>
    <w:bookmarkEnd w:id="3"/>
    <w:tbl>
      <w:tblPr>
        <w:tblStyle w:val="3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双向进入、交叉任职及党组织参与社会服务机构“三重一大”决策情况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开办资金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开办资金来源的合法性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年末净资产不低于开办资金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名称牌匾及登记证书悬挂情况、名称使用规范情况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80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名称、业务范围、住所、开办资金、法定代表人、业务主管单位等按规定办理变更登记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按章程召开理事会、按期换届及会议文件完备情况;理事产生（罢免）符合规定、理事会按章程履行职权情况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74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行政负责人任职履职情况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行政负责人产生程序及专职情况、负责人履职情况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党政领导干部兼职情况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经费来源和资金使用是否符合规定；资金是否列入符合规定的单位账簿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2380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账务处理是否符合《民间非营利组织会计制度》，核算流程、会计电算化，税务登记、捐赠票据管理；会计人员配备及岗位职责、会计机构负责人、会计人员变动交接情况；会计档案的收集、整理、保管、利用和鉴定销毁等情况；业务规模，包括总资产和业务收入；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项目财务管理制度、项目资金管理、项目支出审批程序及支出管理；合同、协议管理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rPr>
          <w:trHeight w:val="822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业务（项目）实施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业务（项目）符合宗旨和业务范围；业务（项目）管理制度；业务（项目）实施、监督、总结情况;业务（项目）风险防控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提供社会服务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服务社会民生情况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聚焦“一老一小”、残疾人、低保户等困难群体，开展养老、助残、帮困、助学等民生服务等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服务本领域行业、事业、产业发展情况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参与制定法律法规政策及建言献策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接受政府委托任务或购买服务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专业性和服务能力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服务定位；具有匹配的专业及技术能力及服务中的资源保障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社会效果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良性经营和服务行为；服务的独特性、社会效果及影响力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rPr>
          <w:trHeight w:val="62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服务承诺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服务承诺制度，承诺服务内容、方式及结果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服务满意度及投诉反馈机制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特色亮点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服务国家战略情况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rPr>
          <w:trHeight w:val="105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服务对象评价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服务对象对服务质量的评价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rPr>
          <w:trHeight w:val="1304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/>
    <w:p>
      <w:r>
        <w:br w:type="page"/>
      </w:r>
    </w:p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4" w:name="_Toc16322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（基金会）</w:t>
      </w:r>
    </w:p>
    <w:bookmarkEnd w:id="4"/>
    <w:tbl>
      <w:tblPr>
        <w:tblStyle w:val="3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双向进入、交叉任职及党组织参与基金会“三重一大”决策情况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原始基金管理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年末净资产不低于原始基金数额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</w:t>
            </w:r>
            <w:r>
              <w:rPr>
                <w:rStyle w:val="5"/>
                <w:rFonts w:hint="default" w:hAnsi="宋体"/>
                <w:lang w:bidi="ar"/>
              </w:rPr>
              <w:t>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章程制定、修改经理事会通过，履行核准程序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理事近亲属关系人数、现职国家工作人员兼任负责人、理事监事任职和取酬、开展评比达标表彰或创建示范活动、具有公开募捐资格的基金会设立监事会、接受境外捐赠按照国家有关规定履行批准备案程序等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接受年检年报情况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按照规定接受年度检查或者参加年报情况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按章程召开理事会、按期换届及会议文件完备情况;按章程履行职权情况、决策程序及方式符合规定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负责人年龄届次符合规定，秘书长专兼职情况，负责人履职情况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志愿者管理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志愿者管理制度、管理及发挥作用情况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经费来源和资金使用情况；资金列入符合规定的单位账簿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账务处理是否符合《民间非营利组织会计制度》，核算规范，纳税管理、票据管理制度及捐赠票据使用情况；会计人员配备及岗位职责、会计机构负责人、会计人员变动交接情况；会计档案的收集、整理、保管、利用和鉴定销毁等情况；收入管理和支出管理；关联方交易制度、关联方及关联交易的识别和披露情况、关联交易的采购和决策审批程序；分支（代表）机构、专项基金财务管理制度及管理情况、财务报告制度、财务报告编制及审议情况，理事会监督、接受审计及整改情况、监事监督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捐赠协议签订、附条件捐赠符合规定、非货币捐赠管理制度及公允价值确定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项目财务管理制度及项目资金使用及监督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货币资金管理制度及货币资金使用情况；实物资产管理制度及实物资产使用情况；物资及服务采购管理、物资捐赠使用及监督；投资管理制度及投资决策、管理、监督、核算及增值情况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信息公开制度；基本信息、年度工作报告、财务工作报告、捐赠收入等公开情况及公开内容的完整性、一致性；项目实施公开情况及公开内容的完整性、一致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发展规划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发展规划制定及落实情况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公益慈善项目规模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公益项目规模，包括年度捐赠收入和年度公益事业支出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项目公益性及符合宗旨和业务范围情况、项目受益人选择满足公开公平公正要求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专项基金管理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项目执行方的合理选择、项目风险防控、项目目标达成情况及社会影响力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公益慈善支出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年度公益慈善支出比例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年度公益事业支出比例和管理费用支出比例是否符合规定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履行社会责任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服务国家战略等情况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受益人评价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受益人对项目管理及效果等方面的评价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474" w:right="1474" w:bottom="1474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9E6239"/>
    <w:rsid w:val="BD9E6239"/>
    <w:rsid w:val="F765B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11435</Words>
  <Characters>11594</Characters>
  <Lines>0</Lines>
  <Paragraphs>0</Paragraphs>
  <TotalTime>20</TotalTime>
  <ScaleCrop>false</ScaleCrop>
  <LinksUpToDate>false</LinksUpToDate>
  <CharactersWithSpaces>11594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2026-05-29T18:10:00Z</dcterms:created>
  <dc:creator>user</dc:creator>
  <cp:lastModifiedBy>user</cp:lastModifiedBy>
  <dcterms:modified xsi:type="dcterms:W3CDTF">2026-05-29T18:30:53Z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