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清算</w:t>
      </w:r>
      <w:r>
        <w:rPr>
          <w:rFonts w:hint="eastAsia" w:ascii="黑体" w:eastAsia="黑体"/>
          <w:sz w:val="32"/>
          <w:szCs w:val="32"/>
        </w:rPr>
        <w:t>审计报告（模版）</w:t>
      </w:r>
    </w:p>
    <w:p>
      <w:pPr>
        <w:jc w:val="both"/>
        <w:rPr>
          <w:rFonts w:hint="eastAsia" w:ascii="仿宋_GB2312" w:hAnsi="仿宋_GB2312" w:eastAsia="仿宋_GB2312" w:cs="仿宋_GB2312"/>
          <w:color w:val="FF0000"/>
          <w:sz w:val="28"/>
          <w:szCs w:val="28"/>
        </w:rPr>
      </w:pPr>
      <w:bookmarkStart w:id="0" w:name="_GoBack"/>
      <w:r>
        <w:rPr>
          <w:color w:val="FF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1791335</wp:posOffset>
            </wp:positionV>
            <wp:extent cx="4431665" cy="6681470"/>
            <wp:effectExtent l="0" t="0" r="3175" b="8890"/>
            <wp:wrapTopAndBottom/>
            <wp:docPr id="2" name="图片 2" descr="7651a5f3fa92a49a8c091ca9ccb0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651a5f3fa92a49a8c091ca9ccb02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1665" cy="668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须由登记管理机关通过政府采购委托的会计师事务所审计并出具，费用由登记管理机关承担。离任审计中出现财务问题或其它问题的，需单独写出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情况说明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并加盖单位公章，有重大财务问题的移交执法部门处理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  <w:docVar w:name="KSO_WPS_MARK_KEY" w:val="da0a3e3a-8ab8-4d1a-92de-2d6fb42fb883"/>
  </w:docVars>
  <w:rsids>
    <w:rsidRoot w:val="529E5C1D"/>
    <w:rsid w:val="0E702530"/>
    <w:rsid w:val="18C12B4D"/>
    <w:rsid w:val="50107095"/>
    <w:rsid w:val="529E5C1D"/>
    <w:rsid w:val="5FFA49A5"/>
    <w:rsid w:val="7481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2021-06-28T05:48:00Z</dcterms:created>
  <dc:creator>逐梦</dc:creator>
  <cp:lastModifiedBy>lx</cp:lastModifiedBy>
  <dcterms:modified xsi:type="dcterms:W3CDTF">2025-02-07T04:00:53Z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7B32E9F0D51E46118083BF0F4CAF302E</vt:lpwstr>
  </property>
</Properties>
</file>