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党政领导干部和国有企事业单位领导人员在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兼职，按规定需报批的，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向省社会组织综合党委办公室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干部兼职批复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2.按照兼职人员的干部管理权限开具兼职批复，加盖公章，无固定格式。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2JlZGNhNmM2YzRlMWMzMzg5NGJlMTVlOWE0ZjEifQ=="/>
  </w:docVars>
  <w:rsids>
    <w:rsidRoot w:val="00000000"/>
    <w:rsid w:val="28B16808"/>
    <w:rsid w:val="29A4022A"/>
    <w:rsid w:val="54665ED1"/>
    <w:rsid w:val="5EF7621C"/>
    <w:rsid w:val="6E19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91</Characters>
  <Lines>0</Lines>
  <Paragraphs>0</Paragraphs>
  <TotalTime>0</TotalTime>
  <ScaleCrop>false</ScaleCrop>
  <LinksUpToDate>false</LinksUpToDate>
  <CharactersWithSpaces>91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2023-10-11T03:15:00Z</dcterms:created>
  <dc:creator>du</dc:creator>
  <cp:lastModifiedBy>肖宁</cp:lastModifiedBy>
  <dcterms:modified xsi:type="dcterms:W3CDTF">2023-10-11T03:33:46Z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ADF5C31E9DD04CAEB44D23CB900D346E</vt:lpwstr>
  </property>
</Properties>
</file>