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09D8F7">
      <w:pPr>
        <w:spacing w:line="600" w:lineRule="exact"/>
        <w:jc w:val="both"/>
        <w:rPr>
          <w:rFonts w:ascii="方正小标宋简体" w:eastAsia="方正小标宋简体"/>
          <w:sz w:val="44"/>
          <w:szCs w:val="32"/>
        </w:rPr>
      </w:pPr>
    </w:p>
    <w:p w14:paraId="3D5EE93C">
      <w:pPr>
        <w:spacing w:line="600" w:lineRule="exact"/>
        <w:jc w:val="center"/>
        <w:rPr>
          <w:rFonts w:ascii="方正小标宋简体" w:eastAsia="方正小标宋简体"/>
          <w:sz w:val="44"/>
          <w:szCs w:val="32"/>
        </w:rPr>
      </w:pPr>
      <w:r>
        <w:rPr>
          <w:rFonts w:hint="eastAsia" w:ascii="方正小标宋简体" w:eastAsia="方正小标宋简体"/>
          <w:sz w:val="44"/>
          <w:szCs w:val="32"/>
        </w:rPr>
        <w:t>关于加快推动农村养老服务高质量发展的</w:t>
      </w:r>
    </w:p>
    <w:p w14:paraId="09A9B184">
      <w:pPr>
        <w:spacing w:line="600" w:lineRule="exact"/>
        <w:jc w:val="center"/>
        <w:rPr>
          <w:rFonts w:ascii="仿宋_GB2312" w:eastAsia="仿宋_GB2312"/>
          <w:sz w:val="36"/>
          <w:szCs w:val="32"/>
        </w:rPr>
      </w:pPr>
      <w:r>
        <w:rPr>
          <w:rFonts w:hint="eastAsia" w:ascii="方正小标宋简体" w:eastAsia="方正小标宋简体"/>
          <w:sz w:val="44"/>
          <w:szCs w:val="32"/>
        </w:rPr>
        <w:t>指导意见</w:t>
      </w:r>
    </w:p>
    <w:p w14:paraId="5B8703E0">
      <w:pPr>
        <w:spacing w:line="600" w:lineRule="exact"/>
        <w:contextualSpacing/>
        <w:jc w:val="center"/>
        <w:rPr>
          <w:rFonts w:ascii="方正小标宋简体" w:eastAsia="方正小标宋简体"/>
          <w:sz w:val="36"/>
          <w:szCs w:val="32"/>
          <w:vertAlign w:val="subscript"/>
        </w:rPr>
      </w:pPr>
    </w:p>
    <w:p w14:paraId="5A42EC82">
      <w:pPr>
        <w:spacing w:line="600" w:lineRule="exact"/>
        <w:ind w:firstLine="640" w:firstLineChars="200"/>
        <w:contextualSpacing/>
        <w:rPr>
          <w:rFonts w:ascii="仿宋_GB2312" w:eastAsia="仿宋_GB2312"/>
          <w:sz w:val="32"/>
          <w:szCs w:val="32"/>
        </w:rPr>
      </w:pPr>
      <w:r>
        <w:rPr>
          <w:rFonts w:hint="eastAsia" w:ascii="仿宋_GB2312" w:eastAsia="仿宋_GB2312"/>
          <w:sz w:val="32"/>
          <w:szCs w:val="32"/>
        </w:rPr>
        <w:t>为深入实施积极应对人口老龄化国家战略，加快补齐农村养老服务短板，结合我省实际，制定指导意见如下。</w:t>
      </w:r>
    </w:p>
    <w:p w14:paraId="043D0250">
      <w:pPr>
        <w:spacing w:line="600" w:lineRule="exact"/>
        <w:ind w:firstLine="640" w:firstLineChars="200"/>
        <w:contextualSpacing/>
        <w:rPr>
          <w:rFonts w:ascii="黑体" w:hAnsi="黑体" w:eastAsia="黑体"/>
          <w:sz w:val="32"/>
          <w:szCs w:val="32"/>
        </w:rPr>
      </w:pPr>
      <w:r>
        <w:rPr>
          <w:rFonts w:hint="eastAsia" w:ascii="黑体" w:hAnsi="黑体" w:eastAsia="黑体"/>
          <w:sz w:val="32"/>
          <w:szCs w:val="32"/>
        </w:rPr>
        <w:t>一、健全政府公共服务体系</w:t>
      </w:r>
    </w:p>
    <w:p w14:paraId="4D4CD912">
      <w:pPr>
        <w:spacing w:line="600" w:lineRule="exact"/>
        <w:ind w:firstLine="640" w:firstLineChars="200"/>
        <w:contextualSpacing/>
        <w:rPr>
          <w:rFonts w:ascii="楷体_GB2312" w:hAnsi="楷体_GB2312" w:eastAsia="楷体_GB2312" w:cs="楷体_GB2312"/>
          <w:sz w:val="32"/>
          <w:szCs w:val="32"/>
        </w:rPr>
      </w:pPr>
      <w:r>
        <w:rPr>
          <w:rFonts w:hint="eastAsia" w:ascii="楷体_GB2312" w:hAnsi="楷体_GB2312" w:eastAsia="楷体_GB2312" w:cs="楷体_GB2312"/>
          <w:sz w:val="32"/>
          <w:szCs w:val="32"/>
        </w:rPr>
        <w:t>（一）完善基本服务制度。</w:t>
      </w:r>
      <w:r>
        <w:rPr>
          <w:rFonts w:hint="eastAsia" w:ascii="仿宋_GB2312" w:eastAsia="仿宋_GB2312"/>
          <w:sz w:val="32"/>
          <w:szCs w:val="32"/>
        </w:rPr>
        <w:t>健全分层分类的社会救助体系，将符合条件的农村老年人纳入相应社会救助范围，予以救助。为符合条件的农村老年人发放经济困难老年人补贴。鼓励有条件的地方通过政府购买服务等方式为经济困难的农村失能老年人等提供必要的访视、照料服务。加强农村独居、留守老人关爱帮扶，常态化开展老年人探访关爱服务。推广“老年父母+残疾子女”家庭共同入住养老机构或其他机构照护模式。优先发展兜底保障型和普惠支持型养老机构，2030年年底前，农村普惠支持型养老机构占比达到70%以上。鼓励有条件的地方将更多农村基本养老服务项目纳入基本养老服务清单。</w:t>
      </w:r>
      <w:r>
        <w:rPr>
          <w:rFonts w:hint="eastAsia" w:ascii="楷体_GB2312" w:eastAsia="楷体_GB2312"/>
          <w:sz w:val="32"/>
          <w:szCs w:val="32"/>
        </w:rPr>
        <w:t>（责任部门：省残联、省发展改革委、省民政厅；按部门顺序排列，下同）</w:t>
      </w:r>
    </w:p>
    <w:p w14:paraId="7A60A58A">
      <w:pPr>
        <w:spacing w:line="600" w:lineRule="exact"/>
        <w:ind w:firstLine="640" w:firstLineChars="200"/>
        <w:contextualSpacing/>
        <w:rPr>
          <w:rFonts w:ascii="仿宋_GB2312" w:eastAsia="仿宋_GB2312"/>
          <w:sz w:val="32"/>
          <w:szCs w:val="32"/>
        </w:rPr>
      </w:pPr>
      <w:r>
        <w:rPr>
          <w:rFonts w:hint="eastAsia" w:ascii="楷体_GB2312" w:hAnsi="楷体_GB2312" w:eastAsia="楷体_GB2312" w:cs="楷体_GB2312"/>
          <w:sz w:val="32"/>
          <w:szCs w:val="32"/>
        </w:rPr>
        <w:t>（二）统筹设施规划建设。</w:t>
      </w:r>
      <w:r>
        <w:rPr>
          <w:rFonts w:hint="eastAsia" w:ascii="仿宋_GB2312" w:hAnsi="仿宋_GB2312" w:eastAsia="仿宋_GB2312" w:cs="仿宋_GB2312"/>
          <w:sz w:val="32"/>
          <w:szCs w:val="32"/>
        </w:rPr>
        <w:t>统筹考虑农村养老服务设施建设需求，与国土空间规划充分衔接</w:t>
      </w:r>
      <w:r>
        <w:rPr>
          <w:rFonts w:hint="eastAsia" w:ascii="仿宋_GB2312" w:eastAsia="仿宋_GB2312"/>
          <w:sz w:val="32"/>
          <w:szCs w:val="32"/>
        </w:rPr>
        <w:t>。统筹县域养老服务设施资源，构建“县级统筹、乡镇辐射、村级落地”的三级养老服务网络。推进县级综合养老服务管理平台提质增效，探索建立“养联体”，强化服务示范、业务指导、资源协调、数据归集等功能；加快乡镇区域养老服务中心优化升级，完善专业照护、服务转介、资源链接、家庭支持等综合服务功能，发挥辐射带动作用，打造区域养老服务枢纽；整合村级养老服务设施资源，灵活开展日间照料、上门服务、文娱助餐</w:t>
      </w:r>
      <w:r>
        <w:rPr>
          <w:rFonts w:ascii="仿宋_GB2312" w:eastAsia="仿宋_GB2312"/>
          <w:sz w:val="32"/>
          <w:szCs w:val="32"/>
        </w:rPr>
        <w:t>、探访关爱</w:t>
      </w:r>
      <w:r>
        <w:rPr>
          <w:rFonts w:hint="eastAsia" w:ascii="仿宋_GB2312" w:eastAsia="仿宋_GB2312"/>
          <w:sz w:val="32"/>
          <w:szCs w:val="32"/>
        </w:rPr>
        <w:t>等服务。2030年年底前，全省建成三级养老服务网络的县（市、区）达到90%。鼓励农村敬老院、养老机构与乡镇卫生院协同发展。</w:t>
      </w:r>
      <w:r>
        <w:rPr>
          <w:rFonts w:hint="eastAsia" w:ascii="楷体_GB2312" w:eastAsia="楷体_GB2312"/>
          <w:sz w:val="32"/>
          <w:szCs w:val="32"/>
        </w:rPr>
        <w:t>（责任部门：省民政厅、省自然资源厅、省卫生健康委）</w:t>
      </w:r>
    </w:p>
    <w:p w14:paraId="2269FD66">
      <w:pPr>
        <w:spacing w:line="600" w:lineRule="exact"/>
        <w:ind w:firstLine="640" w:firstLineChars="200"/>
        <w:contextualSpacing/>
        <w:rPr>
          <w:rFonts w:ascii="楷体_GB2312" w:hAnsi="楷体_GB2312" w:eastAsia="楷体_GB2312" w:cs="楷体_GB2312"/>
          <w:sz w:val="32"/>
          <w:szCs w:val="32"/>
        </w:rPr>
      </w:pPr>
      <w:r>
        <w:rPr>
          <w:rFonts w:hint="eastAsia" w:ascii="楷体_GB2312" w:hAnsi="楷体_GB2312" w:eastAsia="楷体_GB2312" w:cs="楷体_GB2312"/>
          <w:sz w:val="32"/>
          <w:szCs w:val="32"/>
        </w:rPr>
        <w:t>（三）强化老年人权益保障。</w:t>
      </w:r>
      <w:r>
        <w:rPr>
          <w:rFonts w:hint="eastAsia" w:ascii="仿宋_GB2312" w:eastAsia="仿宋_GB2312"/>
          <w:sz w:val="32"/>
          <w:szCs w:val="32"/>
        </w:rPr>
        <w:t>依托县、乡两级综治中心，整合人民调解组织等基层解纷力量，健全涉老家庭矛盾纠纷多元化解机制。严厉打击以“养老服务”“健康养老”“投资养老”等名义实施的各类诈骗犯罪。推动建立涉老诈骗案件快速响应和追赃挽损机制。规范基层公共法律服务平台建设，为老年人提供便捷高效的法律咨询、代写法律文书等服务。加大法律援助力度，依法将符合条件的高龄、空巢、独居、失能失智、计划生育特殊家庭等老年人纳入法律援助范围。鼓励社会力量积极参与老年人法律援助志愿服务，建立常态化、专业化志愿服务机制。</w:t>
      </w:r>
      <w:r>
        <w:rPr>
          <w:rFonts w:hint="eastAsia" w:ascii="楷体_GB2312" w:eastAsia="楷体_GB2312"/>
          <w:sz w:val="32"/>
          <w:szCs w:val="32"/>
        </w:rPr>
        <w:t>（责任部门：省委政法委、省委金融办、省公安厅、省司法厅）</w:t>
      </w:r>
    </w:p>
    <w:p w14:paraId="0E5D16E5">
      <w:pPr>
        <w:spacing w:line="600" w:lineRule="exact"/>
        <w:ind w:firstLine="640" w:firstLineChars="200"/>
        <w:contextualSpacing/>
        <w:rPr>
          <w:rFonts w:ascii="楷体_GB2312" w:eastAsia="楷体_GB2312"/>
          <w:sz w:val="32"/>
          <w:szCs w:val="32"/>
        </w:rPr>
      </w:pPr>
      <w:r>
        <w:rPr>
          <w:rFonts w:hint="eastAsia" w:ascii="楷体_GB2312" w:hAnsi="楷体_GB2312" w:eastAsia="楷体_GB2312" w:cs="楷体_GB2312"/>
          <w:sz w:val="32"/>
          <w:szCs w:val="32"/>
        </w:rPr>
        <w:t>（四）深化公共服务监管</w:t>
      </w:r>
      <w:r>
        <w:rPr>
          <w:rFonts w:hint="eastAsia" w:ascii="仿宋_GB2312" w:eastAsia="仿宋_GB2312"/>
          <w:sz w:val="32"/>
          <w:szCs w:val="32"/>
        </w:rPr>
        <w:t>。健全农村养老服务标准化体系，加快制定和完善县级综合养老服务管理平台、乡镇区域养老服务中心、村级养老服务站等各类养老服务设施的服务标准、安全标准和管理标准。建立常态化督查评价机制，对养老服务政策落实、设施运营、服务质量、安全管理等开展定期检查与随机抽查，及时发现和整改薄弱环节。创新综合监管机制，推动跨部门协同监管，建立健全议事会商、联合执法检查、监</w:t>
      </w:r>
      <w:bookmarkStart w:id="0" w:name="_GoBack"/>
      <w:bookmarkEnd w:id="0"/>
      <w:r>
        <w:rPr>
          <w:rFonts w:hint="eastAsia" w:ascii="仿宋_GB2312" w:eastAsia="仿宋_GB2312"/>
          <w:sz w:val="32"/>
          <w:szCs w:val="32"/>
        </w:rPr>
        <w:t>管信息共享等协同机制。加强养老服务领域消防安全、食品安全、资金使用等方面监管。畅通群众投诉举报渠道，健全评价反馈机制，充分发挥群众监督作用，依托“12345”政务服务便民热线等平台受理养老服务相关投诉举报。</w:t>
      </w:r>
      <w:r>
        <w:rPr>
          <w:rFonts w:hint="eastAsia" w:ascii="楷体_GB2312" w:eastAsia="楷体_GB2312"/>
          <w:sz w:val="32"/>
          <w:szCs w:val="32"/>
        </w:rPr>
        <w:t>（责任部门：省民政厅、省住房城乡建设厅、省市场监管局、省消防救援总队）</w:t>
      </w:r>
    </w:p>
    <w:p w14:paraId="31A90B2C">
      <w:pPr>
        <w:spacing w:line="600" w:lineRule="exact"/>
        <w:ind w:firstLine="640" w:firstLineChars="200"/>
        <w:contextualSpacing/>
        <w:rPr>
          <w:rFonts w:ascii="黑体" w:hAnsi="黑体" w:eastAsia="黑体"/>
          <w:sz w:val="32"/>
          <w:szCs w:val="32"/>
        </w:rPr>
      </w:pPr>
      <w:r>
        <w:rPr>
          <w:rFonts w:hint="eastAsia" w:ascii="黑体" w:hAnsi="黑体" w:eastAsia="黑体"/>
          <w:sz w:val="32"/>
          <w:szCs w:val="32"/>
        </w:rPr>
        <w:t>二、培育市场专业服务体系</w:t>
      </w:r>
    </w:p>
    <w:p w14:paraId="6E6E082F">
      <w:pPr>
        <w:spacing w:line="600" w:lineRule="exact"/>
        <w:ind w:firstLine="640" w:firstLineChars="200"/>
        <w:contextualSpacing/>
        <w:rPr>
          <w:rFonts w:ascii="楷体_GB2312" w:eastAsia="楷体_GB2312"/>
          <w:sz w:val="32"/>
          <w:szCs w:val="32"/>
        </w:rPr>
      </w:pPr>
      <w:r>
        <w:rPr>
          <w:rFonts w:hint="eastAsia" w:ascii="楷体_GB2312" w:hAnsi="楷体_GB2312" w:eastAsia="楷体_GB2312" w:cs="楷体_GB2312"/>
          <w:sz w:val="32"/>
          <w:szCs w:val="32"/>
        </w:rPr>
        <w:t>（五）培育市场主体。</w:t>
      </w:r>
      <w:r>
        <w:rPr>
          <w:rFonts w:hint="eastAsia" w:ascii="仿宋_GB2312" w:eastAsia="仿宋_GB2312"/>
          <w:sz w:val="32"/>
          <w:szCs w:val="32"/>
        </w:rPr>
        <w:t>着力扶持培育一批有实力、有信誉的农村养老服务品牌和龙头企业，发挥其示范带动和资源整合作用。通过政策支持、税费减免、专项补贴、委托运营等措施，鼓励支持社会力量进入农村养老服务市场。鼓励国有企业立足主责主业，按照市场化原则积极参与农村养老服务，进一步优化养老服务资源布局。鼓励和支持家政公司、医院、康复机构等各类主体拓展业务范围，利用多种方式参与养老服务。支持农村集体经济组织发展养老服务，探索“企业投资运营+村集体闲置资源入股+村民劳务入股”等发展模式，建立利益联结机制。加强闲置农村公共服务设施综合利用，优先改建为养老机构、老年食堂、村级养老服务站点等养老服务场所。</w:t>
      </w:r>
      <w:r>
        <w:rPr>
          <w:rFonts w:hint="eastAsia" w:ascii="楷体_GB2312" w:eastAsia="楷体_GB2312"/>
          <w:sz w:val="32"/>
          <w:szCs w:val="32"/>
        </w:rPr>
        <w:t>（责任部门：省民政厅、省财政厅、省农业农村厅、省商务厅、省国资委）</w:t>
      </w:r>
    </w:p>
    <w:p w14:paraId="1A1F9E10">
      <w:pPr>
        <w:spacing w:line="600" w:lineRule="exact"/>
        <w:ind w:firstLine="640" w:firstLineChars="200"/>
        <w:contextualSpacing/>
        <w:rPr>
          <w:rFonts w:ascii="楷体_GB2312" w:eastAsia="楷体_GB2312"/>
          <w:sz w:val="32"/>
          <w:szCs w:val="32"/>
        </w:rPr>
      </w:pPr>
      <w:r>
        <w:rPr>
          <w:rFonts w:hint="eastAsia" w:ascii="楷体_GB2312" w:hAnsi="楷体_GB2312" w:eastAsia="楷体_GB2312" w:cs="楷体_GB2312"/>
          <w:sz w:val="32"/>
          <w:szCs w:val="32"/>
        </w:rPr>
        <w:t>（六）丰富服务供给。</w:t>
      </w:r>
      <w:r>
        <w:rPr>
          <w:rFonts w:hint="eastAsia" w:ascii="仿宋_GB2312" w:eastAsia="仿宋_GB2312"/>
          <w:sz w:val="32"/>
          <w:szCs w:val="32"/>
        </w:rPr>
        <w:t>支持市场主体针对农村居住分散、服务半径大的特点，开发模块化、可组合的上门服务产品。鼓励家政公司延伸业务链条，培训农村富余劳动力成为</w:t>
      </w:r>
      <w:r>
        <w:rPr>
          <w:rFonts w:ascii="仿宋_GB2312" w:eastAsia="仿宋_GB2312"/>
          <w:sz w:val="32"/>
          <w:szCs w:val="32"/>
        </w:rPr>
        <w:t>养老护理员</w:t>
      </w:r>
      <w:r>
        <w:rPr>
          <w:rFonts w:hint="eastAsia" w:ascii="仿宋_GB2312" w:eastAsia="仿宋_GB2312"/>
          <w:sz w:val="32"/>
          <w:szCs w:val="32"/>
        </w:rPr>
        <w:t>，为农村老年人提供专业照护服务。支持有条件的机构将适老化改造、智能监测设备、24小时远程值守、定期上门巡访打包成一站式解决方案，让居家老年人享受到接近机构的照护品质。支持市场主体采用“中央厨房集中制作+冷链配送+村级取餐点+入户送达”的模式，丰富农村老年助餐服务。支持社会资本兴办护理型养老机构，建设认知障碍照护专区，满足失能失智老年人刚性需求。鼓励市场主体开设康复辅助器具租售站点，提供轮椅、护理床、制氧机、助行器等设备展示、租赁、售卖等服务。支持文化旅游企业、教育培训机构开发老年研学、乡村技艺传习、怀旧剧场、田间康体等活动产品。</w:t>
      </w:r>
      <w:r>
        <w:rPr>
          <w:rFonts w:hint="eastAsia" w:ascii="楷体_GB2312" w:eastAsia="楷体_GB2312"/>
          <w:sz w:val="32"/>
          <w:szCs w:val="32"/>
        </w:rPr>
        <w:t>（责任部门：省教育厅、省民政厅、省商务厅、省文化和旅游厅、省市场监管局）</w:t>
      </w:r>
    </w:p>
    <w:p w14:paraId="1D3E5D9B">
      <w:pPr>
        <w:spacing w:line="600" w:lineRule="exact"/>
        <w:ind w:firstLine="640" w:firstLineChars="200"/>
        <w:contextualSpacing/>
        <w:rPr>
          <w:rFonts w:ascii="楷体_GB2312" w:eastAsia="楷体_GB2312"/>
          <w:sz w:val="32"/>
          <w:szCs w:val="32"/>
        </w:rPr>
      </w:pPr>
      <w:r>
        <w:rPr>
          <w:rFonts w:hint="eastAsia" w:ascii="楷体_GB2312" w:hAnsi="楷体_GB2312" w:eastAsia="楷体_GB2312" w:cs="楷体_GB2312"/>
          <w:sz w:val="32"/>
          <w:szCs w:val="32"/>
        </w:rPr>
        <w:t>（七）发展养老产业。</w:t>
      </w:r>
      <w:r>
        <w:rPr>
          <w:rFonts w:hint="eastAsia" w:ascii="仿宋_GB2312" w:eastAsia="仿宋_GB2312"/>
          <w:sz w:val="32"/>
          <w:szCs w:val="32"/>
        </w:rPr>
        <w:t>推动养老与医疗、健康、文旅、家政等产业融合发展，鼓励社会资本投资建设农村康养、旅居养老等特色项目。支持各地依托自然生态、田园风光、乡土文化等资源，发展具有示范效应的养老产业集聚区和特色产业园区。鼓励利用农村闲置用房因地制宜改造为具有适老化、个性化、地域特色的康养旅居服务场所。探索“主体服务区+加盟服务点”的经营模式，推动城乡养老服务资源双向流动。支持打造“田园康养”“森林康养”等特色品牌。鼓励村集体依托本地特色资源发展养老关联产业。鼓励金融机构用好服务消费与养老再贷款等结构性货币政策工具，加大对农村养老领域市场主体的信贷支持力度，促进农村养老产业发展。推动养老产业数字化转型，鼓励企业开发智慧养老产品和服务，推广互联网、大数据、人工智能等技术在农村养老服务中的应用。</w:t>
      </w:r>
      <w:r>
        <w:rPr>
          <w:rFonts w:hint="eastAsia" w:ascii="楷体_GB2312" w:eastAsia="楷体_GB2312"/>
          <w:sz w:val="32"/>
          <w:szCs w:val="32"/>
        </w:rPr>
        <w:t>（责任部门：省委网信办、省发展改革委、省农业农村厅、省文化和旅游厅、省大数据局、中国人民银行山东省分行）</w:t>
      </w:r>
    </w:p>
    <w:p w14:paraId="5684AD42">
      <w:pPr>
        <w:spacing w:line="600" w:lineRule="exact"/>
        <w:ind w:firstLine="640" w:firstLineChars="200"/>
        <w:contextualSpacing/>
        <w:rPr>
          <w:rFonts w:ascii="楷体_GB2312" w:hAnsi="仿宋_GB2312" w:eastAsia="楷体_GB2312" w:cs="仿宋_GB2312"/>
          <w:sz w:val="32"/>
          <w:szCs w:val="32"/>
        </w:rPr>
      </w:pPr>
      <w:r>
        <w:rPr>
          <w:rFonts w:hint="eastAsia" w:ascii="楷体_GB2312" w:hAnsi="楷体_GB2312" w:eastAsia="楷体_GB2312" w:cs="楷体_GB2312"/>
          <w:sz w:val="32"/>
          <w:szCs w:val="32"/>
        </w:rPr>
        <w:t>（八）促进养老消费。</w:t>
      </w:r>
      <w:r>
        <w:rPr>
          <w:rFonts w:hint="eastAsia" w:ascii="仿宋_GB2312" w:eastAsia="仿宋_GB2312"/>
          <w:sz w:val="32"/>
          <w:szCs w:val="32"/>
        </w:rPr>
        <w:t>支持市场主体在乡镇中心地段开设养老服务超市或银发产品体验店，集中展示和销售适老化家居、智能穿戴设备、康复辅具、老年食品等产品。鼓励各地定期举办“银发消费大集”“适老产品下乡展销”等活动，培育农村老年人对现代养老产品的认知和消费习惯。鼓励有条件的地方向符合条件的老年人发放养老服务券、电子消费券，提升老年人消费意愿。推广“孝心经济”，引导子女为父母购买养老服务，推出“孝心卡”“亲情护理套餐”“家床照护包”等定制产品，打通子女线上代下单、父母线下享受服务的消费闭环。探索建立时间（积分）储蓄和转让制度，</w:t>
      </w:r>
      <w:r>
        <w:rPr>
          <w:rFonts w:hint="eastAsia" w:ascii="仿宋_GB2312" w:hAnsi="仿宋_GB2312" w:eastAsia="仿宋_GB2312" w:cs="仿宋_GB2312"/>
          <w:sz w:val="32"/>
          <w:szCs w:val="32"/>
        </w:rPr>
        <w:t>支持各地在互助养老模式中嵌入市场化激励机制，引导低龄健康老年人参与互助服务，积分可兑换生活用品或未来的照护服务。</w:t>
      </w:r>
      <w:r>
        <w:rPr>
          <w:rFonts w:hint="eastAsia" w:ascii="仿宋_GB2312" w:eastAsia="仿宋_GB2312"/>
          <w:sz w:val="32"/>
          <w:szCs w:val="32"/>
        </w:rPr>
        <w:t>鼓励建立跨区域通存通兑机制。</w:t>
      </w:r>
      <w:r>
        <w:rPr>
          <w:rFonts w:hint="eastAsia" w:ascii="楷体_GB2312" w:hAnsi="仿宋_GB2312" w:eastAsia="楷体_GB2312" w:cs="仿宋_GB2312"/>
          <w:sz w:val="32"/>
          <w:szCs w:val="32"/>
        </w:rPr>
        <w:t>（责任部门：省委社会工作部、省民政厅、省财政厅、省农业农村厅、省商务厅）</w:t>
      </w:r>
    </w:p>
    <w:p w14:paraId="2879D2A6">
      <w:pPr>
        <w:spacing w:line="600" w:lineRule="exact"/>
        <w:ind w:firstLine="640" w:firstLineChars="200"/>
        <w:contextualSpacing/>
        <w:rPr>
          <w:rFonts w:ascii="黑体" w:hAnsi="黑体" w:eastAsia="黑体"/>
          <w:sz w:val="32"/>
          <w:szCs w:val="32"/>
        </w:rPr>
      </w:pPr>
      <w:r>
        <w:rPr>
          <w:rFonts w:hint="eastAsia" w:ascii="黑体" w:hAnsi="黑体" w:eastAsia="黑体"/>
          <w:sz w:val="32"/>
          <w:szCs w:val="32"/>
        </w:rPr>
        <w:t>三、完善自助互助服务体系</w:t>
      </w:r>
    </w:p>
    <w:p w14:paraId="33F918E3">
      <w:pPr>
        <w:spacing w:line="600" w:lineRule="exact"/>
        <w:ind w:firstLine="640" w:firstLineChars="200"/>
        <w:contextualSpacing/>
        <w:rPr>
          <w:rFonts w:ascii="仿宋_GB2312" w:eastAsia="仿宋_GB2312"/>
          <w:sz w:val="32"/>
          <w:szCs w:val="32"/>
        </w:rPr>
      </w:pPr>
      <w:r>
        <w:rPr>
          <w:rFonts w:hint="eastAsia" w:ascii="楷体_GB2312" w:hAnsi="楷体_GB2312" w:eastAsia="楷体_GB2312" w:cs="楷体_GB2312"/>
          <w:sz w:val="32"/>
          <w:szCs w:val="32"/>
        </w:rPr>
        <w:t>（九）提升自我养老能力。</w:t>
      </w:r>
      <w:r>
        <w:rPr>
          <w:rFonts w:hint="eastAsia" w:ascii="仿宋_GB2312" w:eastAsia="仿宋_GB2312"/>
          <w:sz w:val="32"/>
          <w:szCs w:val="32"/>
        </w:rPr>
        <w:t>支持农村居民积极参加个人养老金、其他个人商业养老金融和老年人意外伤害保险业务，拓宽养老保障渠道。稳妥推进农村土地制度改革，支持农村老年人将承包地通过出租（转包）、入股等方式参与家庭农场、农民合作社、农业企业等新型农业经营主体经营，获取稳定的租金或分红收入，增加财产性收入来源。允许农村老年人将合法拥有的闲置住房通过出租、入股、合作等方式盘活利用，参与乡村民宿、乡村旅游、养老服务等产业发展，拓宽增收渠道，实现资产保值增值。支持推广“以老助老服务岗”等灵活就业模式，拓宽农村老年人就近就地就业渠道。</w:t>
      </w:r>
      <w:r>
        <w:rPr>
          <w:rFonts w:hint="eastAsia" w:ascii="楷体_GB2312" w:eastAsia="楷体_GB2312"/>
          <w:sz w:val="32"/>
          <w:szCs w:val="32"/>
        </w:rPr>
        <w:t>（责任部门：省委金融办、省人力资源社会保障厅、省农业农村厅、中国人民银行山东省分行、山东金融监管局）</w:t>
      </w:r>
    </w:p>
    <w:p w14:paraId="04DC5C36">
      <w:pPr>
        <w:spacing w:line="600" w:lineRule="exact"/>
        <w:ind w:firstLine="640" w:firstLineChars="200"/>
        <w:contextualSpacing/>
        <w:rPr>
          <w:rFonts w:ascii="仿宋_GB2312" w:eastAsia="仿宋_GB2312"/>
          <w:sz w:val="32"/>
          <w:szCs w:val="32"/>
        </w:rPr>
      </w:pPr>
      <w:r>
        <w:rPr>
          <w:rFonts w:hint="eastAsia" w:ascii="楷体_GB2312" w:hAnsi="楷体_GB2312" w:eastAsia="楷体_GB2312" w:cs="楷体_GB2312"/>
          <w:sz w:val="32"/>
          <w:szCs w:val="32"/>
        </w:rPr>
        <w:t>（十）强化家庭养老功能。</w:t>
      </w:r>
      <w:r>
        <w:rPr>
          <w:rFonts w:hint="eastAsia" w:ascii="仿宋_GB2312" w:eastAsia="仿宋_GB2312"/>
          <w:sz w:val="32"/>
          <w:szCs w:val="32"/>
        </w:rPr>
        <w:t>加大《民法典》《老年人权益保障法》宣传力度，督促赡养人履行赡养义务，将有能力赡养而拒不赡养老年人的违法行为纳入个人社会信用记录。支持村民委员会将孝老爱亲纳入村规民约，明确子女赡养义务和行为规范。鼓励村集体通过子女出资、政府补助、社会捐助、村集体补助等方式设立孝善养老基金。将孝老爱亲等中华传统美德融入文明村镇、文明家庭创建和新时代文明实践中心建设，开展“最美家庭”选树，营造养老孝老敬老的社会氛围。支持从事照护农村失能老年人人员参加职业技能培训，提升技能水平。开发农村助老员公益性岗位，就近就便开展农村助老服务，按规定通过就业补助资金、常态化帮扶资金等渠道给与岗位补贴。</w:t>
      </w:r>
      <w:r>
        <w:rPr>
          <w:rFonts w:hint="eastAsia" w:ascii="楷体_GB2312" w:eastAsia="楷体_GB2312"/>
          <w:sz w:val="32"/>
          <w:szCs w:val="32"/>
        </w:rPr>
        <w:t>（责任部门：省委宣传部、省委社会工作部、省民政厅、省人力资源社会保障厅）</w:t>
      </w:r>
    </w:p>
    <w:p w14:paraId="2FDB98AD">
      <w:pPr>
        <w:spacing w:line="600" w:lineRule="exact"/>
        <w:ind w:firstLine="640" w:firstLineChars="200"/>
        <w:contextualSpacing/>
        <w:rPr>
          <w:rFonts w:ascii="仿宋_GB2312" w:eastAsia="仿宋_GB2312"/>
          <w:sz w:val="32"/>
          <w:szCs w:val="32"/>
        </w:rPr>
      </w:pPr>
      <w:r>
        <w:rPr>
          <w:rFonts w:hint="eastAsia" w:ascii="楷体_GB2312" w:hAnsi="楷体_GB2312" w:eastAsia="楷体_GB2312" w:cs="楷体_GB2312"/>
          <w:sz w:val="32"/>
          <w:szCs w:val="32"/>
        </w:rPr>
        <w:t>（十一）推进互助养老服务。</w:t>
      </w:r>
      <w:r>
        <w:rPr>
          <w:rFonts w:hint="eastAsia" w:ascii="仿宋_GB2312" w:eastAsia="仿宋_GB2312"/>
          <w:sz w:val="32"/>
          <w:szCs w:val="32"/>
        </w:rPr>
        <w:t>指导各地村民委员会依法设立老年人和妇女儿童工作委员会，组织或者引导村民开展互助性养老服务。依托村（社区）养老服务设施站点等建设互助性养老服务设施， 2030年年底前，全省具备互助服务功能的城乡社区养老服务设施覆盖率不低于75%。引导各地整合优化乡镇敬老院、农村幸福院、闲置学校等改扩建为适宜老年人居住的互助养老社区。鼓励在村（社区）设立“互助物资共享站”，开展非营利性康复辅助器具租赁服务。将互助性养老服务纳入“银龄行动”内容，组织以“互助养老”为主题的老年人志愿服务活动。</w:t>
      </w:r>
      <w:r>
        <w:rPr>
          <w:rFonts w:hint="eastAsia" w:ascii="楷体_GB2312" w:eastAsia="楷体_GB2312"/>
          <w:sz w:val="32"/>
          <w:szCs w:val="32"/>
        </w:rPr>
        <w:t>（责任部门：省委社会工作部、省教育厅、省民政厅、省农业农村厅）</w:t>
      </w:r>
    </w:p>
    <w:p w14:paraId="322F4D4C">
      <w:pPr>
        <w:spacing w:line="600" w:lineRule="exact"/>
        <w:ind w:firstLine="640" w:firstLineChars="200"/>
        <w:contextualSpacing/>
        <w:rPr>
          <w:rFonts w:ascii="楷体_GB2312" w:eastAsia="楷体_GB2312"/>
          <w:sz w:val="32"/>
          <w:szCs w:val="32"/>
        </w:rPr>
      </w:pPr>
      <w:r>
        <w:rPr>
          <w:rFonts w:ascii="楷体_GB2312" w:hAnsi="楷体_GB2312" w:eastAsia="楷体_GB2312" w:cs="楷体_GB2312"/>
          <w:sz w:val="32"/>
          <w:szCs w:val="32"/>
        </w:rPr>
        <w:t>（十二）激发社会参与热情。</w:t>
      </w:r>
      <w:r>
        <w:rPr>
          <w:rFonts w:hint="eastAsia" w:ascii="仿宋_GB2312" w:eastAsia="仿宋_GB2312"/>
          <w:sz w:val="32"/>
          <w:szCs w:val="32"/>
        </w:rPr>
        <w:t>发挥齐鲁孝亲敬老文化资源优势，不断健全人口老龄化国情教育工作格局，各级老龄工作议事协调机构（机制）成员单位及老龄工作有关部门（单位）每年开展人口老龄化国情教育不少于1次，</w:t>
      </w:r>
      <w:r>
        <w:rPr>
          <w:rFonts w:ascii="仿宋_GB2312" w:eastAsia="仿宋_GB2312"/>
          <w:sz w:val="32"/>
          <w:szCs w:val="32"/>
        </w:rPr>
        <w:t>2030年</w:t>
      </w:r>
      <w:r>
        <w:rPr>
          <w:rFonts w:hint="eastAsia" w:ascii="仿宋_GB2312" w:eastAsia="仿宋_GB2312"/>
          <w:sz w:val="32"/>
          <w:szCs w:val="32"/>
        </w:rPr>
        <w:t>年底前，全省人口老龄化国情教育全面提质增效，尊老敬老爱老助老氛围更加浓厚。大力发展基层老年协会，支持完善组织机构和管理制度。支持老年协会承接村级互助养老点运营管理、老年人需求摸排、邻里互助组织协调等具体事务。培育壮大农村为老社区社会组织，提供启动扶持和孵化培育服务，支持策划实施助老服务项目。完善农村养老志愿服务体系，建立志愿者招募注册、培训赋能、服务记录、激励回馈的全链条机制。设计开发适合农村的志愿服务项目，搭建服务供需对接平台。鼓励基金会设立农村养老专项基金，支持农村养老服务发展。鼓励企业通过慈善捐赠、设立冠名基金、捐赠物资设备等方式参与农村养老服务。深入开展“齐鲁乡村银龄行动”，引导老年人以志愿服务形式积极参与各类活动。</w:t>
      </w:r>
      <w:r>
        <w:rPr>
          <w:rFonts w:hint="eastAsia" w:ascii="楷体_GB2312" w:eastAsia="楷体_GB2312"/>
          <w:sz w:val="32"/>
          <w:szCs w:val="32"/>
        </w:rPr>
        <w:t>（责任部门：省委组织部、省委宣传部、省委统战部、省委社会工作部、省委党校(山东行政学院)、省社会主义学院、省民政厅）</w:t>
      </w:r>
    </w:p>
    <w:p w14:paraId="12FA0799">
      <w:pPr>
        <w:spacing w:line="600" w:lineRule="exact"/>
        <w:ind w:firstLine="640" w:firstLineChars="200"/>
        <w:contextualSpacing/>
        <w:rPr>
          <w:rFonts w:ascii="仿宋_GB2312" w:hAnsi="黑体" w:eastAsia="仿宋_GB2312"/>
          <w:sz w:val="32"/>
          <w:szCs w:val="32"/>
        </w:rPr>
      </w:pPr>
      <w:r>
        <w:rPr>
          <w:rFonts w:hint="eastAsia" w:ascii="仿宋_GB2312" w:eastAsia="仿宋_GB2312"/>
          <w:sz w:val="32"/>
          <w:szCs w:val="32"/>
        </w:rPr>
        <w:t>各级政府要高度重视农村养老服务工作，切实加强组织领导，明确责任分工，细化工作措施，确保各项任务落到实处。各地各相关部门要及时总结、提炼、推广典型经验做法，营造全社会关心支持农村养老的良好氛围，推动农村养老服务高质量发展，不断增强农村老年人的获得感、幸福感、安全感。</w:t>
      </w:r>
    </w:p>
    <w:p w14:paraId="0CFE2053">
      <w:pPr>
        <w:spacing w:line="600" w:lineRule="exact"/>
        <w:jc w:val="cente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A7"/>
    <w:rsid w:val="000A71DC"/>
    <w:rsid w:val="003E2C2F"/>
    <w:rsid w:val="004910A7"/>
    <w:rsid w:val="005808EC"/>
    <w:rsid w:val="00993825"/>
    <w:rsid w:val="00A61B32"/>
    <w:rsid w:val="00A8123B"/>
    <w:rsid w:val="00EB010F"/>
    <w:rsid w:val="5BF1A984"/>
    <w:rsid w:val="6E5C88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8</Pages>
  <Words>651</Words>
  <Characters>3715</Characters>
  <Lines>30</Lines>
  <Paragraphs>8</Paragraphs>
  <TotalTime>1</TotalTime>
  <ScaleCrop>false</ScaleCrop>
  <LinksUpToDate>false</LinksUpToDate>
  <CharactersWithSpaces>4358</CharactersWithSpaces>
  <Application>WPS Office_12.1.2.25882_F1E327BC-269C-435d-A152-05C5408002CA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2026-08-28T10:53:00Z</dcterms:created>
  <dc:creator>MZT</dc:creator>
  <cp:lastModifiedBy>巩涛</cp:lastModifiedBy>
  <dcterms:modified xsi:type="dcterms:W3CDTF">2026-08-28T12:27:29Z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2052-12.1.2.25882</vt:lpwstr>
  </property>
  <property fmtid="{D5CDD505-2E9C-101B-9397-08002B2CF9AE}" pid="3" name="ICV">
    <vt:lpwstr>0BA83DC0F833C279FD0D916AD05C871E_42</vt:lpwstr>
  </property>
</Properties>
</file>