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B7700">
      <w:pPr>
        <w:ind w:left="0" w:leftChars="0" w:firstLine="0" w:firstLineChars="0"/>
        <w:rPr>
          <w:rFonts w:hint="eastAsia" w:ascii="黑体" w:hAnsi="黑体" w:eastAsia="黑体" w:cs="黑体"/>
          <w:strike w:val="0"/>
          <w:dstrike w:val="0"/>
          <w:u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u w:val="none"/>
          <w:lang w:val="en-US" w:eastAsia="zh-CN"/>
        </w:rPr>
        <w:t xml:space="preserve"> </w:t>
      </w:r>
    </w:p>
    <w:p w14:paraId="6636C0BB">
      <w:pPr>
        <w:ind w:left="0" w:leftChars="0" w:firstLine="0" w:firstLineChars="0"/>
        <w:rPr>
          <w:rFonts w:hint="default" w:ascii="黑体" w:hAnsi="黑体" w:eastAsia="黑体" w:cs="黑体"/>
          <w:strike w:val="0"/>
          <w:dstrike w:val="0"/>
          <w:u w:val="none"/>
          <w:lang w:val="en-US" w:eastAsia="zh-CN"/>
        </w:rPr>
      </w:pPr>
    </w:p>
    <w:p w14:paraId="204C214D">
      <w:pPr>
        <w:ind w:left="0" w:leftChars="0" w:firstLine="0" w:firstLineChars="0"/>
        <w:jc w:val="center"/>
        <w:rPr>
          <w:rFonts w:hint="eastAsia" w:eastAsia="方正小标宋简体"/>
          <w:strike w:val="0"/>
          <w:dstrike w:val="0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36"/>
          <w:u w:val="none"/>
        </w:rPr>
        <w:t>《山东省慈善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36"/>
          <w:u w:val="none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36"/>
          <w:u w:val="none"/>
        </w:rPr>
        <w:t>综合监管办法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36"/>
          <w:u w:val="none"/>
          <w:lang w:eastAsia="zh-CN"/>
        </w:rPr>
        <w:t>（公开征求意见稿）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36"/>
          <w:u w:val="none"/>
        </w:rPr>
        <w:t>》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sz w:val="44"/>
          <w:szCs w:val="36"/>
          <w:u w:val="none"/>
          <w:lang w:eastAsia="zh-CN"/>
        </w:rPr>
        <w:t>政策解读</w:t>
      </w:r>
    </w:p>
    <w:p w14:paraId="0A078CC3">
      <w:pPr>
        <w:rPr>
          <w:rFonts w:hint="eastAsia"/>
          <w:strike w:val="0"/>
          <w:dstrike w:val="0"/>
          <w:u w:val="none"/>
        </w:rPr>
      </w:pPr>
    </w:p>
    <w:p w14:paraId="113853F4">
      <w:pPr>
        <w:rPr>
          <w:rFonts w:hint="eastAsia" w:ascii="仿宋_GB2312" w:hAnsi="仿宋_GB2312" w:eastAsia="仿宋_GB2312" w:cs="仿宋_GB2312"/>
          <w:strike w:val="0"/>
          <w:dstrike w:val="0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为贯彻落实《中华人民共和国慈善法》《山东省慈善条例》等法律法规，进一步加强我省慈善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的综合监管，促进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慈善事业高质量发展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，省民政厅牵头起草了《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山东省慈善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综合监管办法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（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试行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》（以下简称《办法》）。现将有关起草情况说明如下：</w:t>
      </w:r>
    </w:p>
    <w:p w14:paraId="7DEEA553">
      <w:pPr>
        <w:rPr>
          <w:rFonts w:hint="eastAsia" w:ascii="黑体" w:hAnsi="黑体" w:eastAsia="黑体" w:cs="黑体"/>
          <w:strike w:val="0"/>
          <w:dstrike w:val="0"/>
          <w:u w:val="none"/>
        </w:rPr>
      </w:pPr>
      <w:r>
        <w:rPr>
          <w:rFonts w:hint="eastAsia" w:ascii="黑体" w:hAnsi="黑体" w:eastAsia="黑体" w:cs="黑体"/>
          <w:strike w:val="0"/>
          <w:dstrike w:val="0"/>
          <w:u w:val="none"/>
        </w:rPr>
        <w:t>一、起草背景</w:t>
      </w:r>
    </w:p>
    <w:p w14:paraId="107E539B">
      <w:pPr>
        <w:rPr>
          <w:rFonts w:hint="eastAsia" w:ascii="仿宋_GB2312" w:hAnsi="仿宋_GB2312" w:eastAsia="仿宋_GB2312" w:cs="仿宋_GB2312"/>
          <w:strike w:val="0"/>
          <w:dstrike w:val="0"/>
          <w:u w:val="none"/>
        </w:rPr>
      </w:pP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慈善事业是中国特色社会主义事业的重要组成部分，是社会文明进步的重要标志。党的十八大以来，在以习近平总书记为核心的党中央坚强领导下，在省委省政府正确指导下，在社会各方面积极参与和大力支持下，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我省慈善事业快速发展，慈善组织数量持续增长，慈善活动形式日益多样，慈善信托、网络募捐等新业态不断涌现。与此同时，慈善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也面临监管对象复杂、监管职责分散、风险隐患增多等挑战。部分慈善组织财产管理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使用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不规范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、组织或个人假冒慈善名义开展违法活动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等问题时有发生，损害了慈善事业的公信力和社会形象。</w:t>
      </w:r>
    </w:p>
    <w:p w14:paraId="396B3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u w:val="none"/>
        </w:rPr>
      </w:pP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2025年3月，在中央纪委监委的监督指导下，民政部牵头7个部门在全国部署开展了公益慈善领域突出问题专项整治工作。根据国家统一安排，在省纪委监委指导下，省民政厅联合财政、税务、市场监管、网信、公安、红十字等部门建立了“1+6”省级协作机制，统筹抓好公益慈善领域突出问题专项整治工作。为进一步巩固专项整治成效，建立慈善活动综合监管长效机制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</w:rPr>
        <w:t>构建覆盖全面、责任清晰、协同高效、惩戒有力的慈善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</w:rPr>
        <w:t>综合监管体系，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省民政厅牵头拟定了本《办法》，旨在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</w:rPr>
        <w:t>明确监管对象，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  <w:lang w:eastAsia="zh-CN"/>
        </w:rPr>
        <w:t>压实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</w:rPr>
        <w:t>监管责任，突出监管重点，创新监管方式，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  <w:lang w:eastAsia="zh-CN"/>
        </w:rPr>
        <w:t>防范化解风险，有效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</w:rPr>
        <w:t>处置问题，规范慈善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  <w:lang w:eastAsia="zh-CN"/>
        </w:rPr>
        <w:t>行业发展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</w:rPr>
        <w:t>，提升慈善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  <w:lang w:eastAsia="zh-CN"/>
        </w:rPr>
        <w:t>事业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40"/>
          <w:highlight w:val="none"/>
          <w:u w:val="none"/>
        </w:rPr>
        <w:t>公信力。</w:t>
      </w:r>
    </w:p>
    <w:p w14:paraId="7B78CCCC">
      <w:pPr>
        <w:rPr>
          <w:rFonts w:hint="eastAsia" w:ascii="黑体" w:hAnsi="黑体" w:eastAsia="黑体" w:cs="黑体"/>
          <w:strike w:val="0"/>
          <w:dstrike w:val="0"/>
          <w:u w:val="none"/>
        </w:rPr>
      </w:pPr>
      <w:r>
        <w:rPr>
          <w:rFonts w:hint="eastAsia" w:ascii="黑体" w:hAnsi="黑体" w:eastAsia="黑体" w:cs="黑体"/>
          <w:strike w:val="0"/>
          <w:dstrike w:val="0"/>
          <w:u w:val="none"/>
        </w:rPr>
        <w:t>二、起草过程</w:t>
      </w:r>
    </w:p>
    <w:p w14:paraId="022F0436">
      <w:pPr>
        <w:rPr>
          <w:rFonts w:hint="eastAsia" w:ascii="仿宋_GB2312" w:hAnsi="仿宋_GB2312" w:eastAsia="仿宋_GB2312" w:cs="仿宋_GB2312"/>
          <w:strike w:val="0"/>
          <w:dstrike w:val="0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《办法》的起草工作于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启动，主要经历了以下阶段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。</w:t>
      </w:r>
      <w:r>
        <w:rPr>
          <w:rFonts w:hint="eastAsia" w:ascii="仿宋_GB2312" w:hAnsi="仿宋_GB2312" w:cs="仿宋_GB2312"/>
          <w:b/>
          <w:bCs/>
          <w:strike w:val="0"/>
          <w:dstrike w:val="0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调研论证阶段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，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借助开展公益慈善领域突出问题专项整治工作契机，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对慈善组织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等从事公益活动的社会组织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、红十字会、慈善信托等监管对象的基本情况、运行状况和监管难点进行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调研，梳理现有法律法规和政策文件，借鉴兄弟省市先进经验，明确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《办法》的框架结构。</w:t>
      </w:r>
      <w:r>
        <w:rPr>
          <w:rFonts w:hint="eastAsia" w:ascii="仿宋_GB2312" w:hAnsi="仿宋_GB2312" w:cs="仿宋_GB2312"/>
          <w:b/>
          <w:bCs/>
          <w:strike w:val="0"/>
          <w:dstrike w:val="0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初稿起草阶段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在调研基础上，结合我省实际，形成了《办法》初稿，重点围绕监管对象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内容、监管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主体及职责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、监管方式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处置措施等方面进行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梳理明确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。</w:t>
      </w:r>
      <w:r>
        <w:rPr>
          <w:rFonts w:hint="eastAsia" w:ascii="仿宋_GB2312" w:hAnsi="仿宋_GB2312" w:cs="仿宋_GB2312"/>
          <w:b/>
          <w:bCs/>
          <w:strike w:val="0"/>
          <w:dstrike w:val="0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征求意见阶段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初稿形成后，先后征求了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部分省级协作机制成员单位、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市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民政部门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及慈善组织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的意见。经认真研究吸纳，对《办法》进行了多轮修改完善。</w:t>
      </w:r>
    </w:p>
    <w:p w14:paraId="357249D0">
      <w:pP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u w:val="none"/>
        </w:rPr>
        <w:t>三、主要内容</w:t>
      </w:r>
    </w:p>
    <w:p w14:paraId="7B194B50">
      <w:pPr>
        <w:rPr>
          <w:rFonts w:hint="default" w:ascii="仿宋_GB2312" w:hAnsi="仿宋_GB2312" w:cs="仿宋_GB2312"/>
          <w:strike w:val="0"/>
          <w:dstrike w:val="0"/>
          <w:u w:val="none"/>
          <w:lang w:val="en-US" w:eastAsia="zh-CN"/>
        </w:rPr>
      </w:pPr>
      <w:r>
        <w:rPr>
          <w:rFonts w:hint="default" w:ascii="仿宋_GB2312" w:hAnsi="仿宋_GB2312" w:cs="仿宋_GB2312"/>
          <w:strike w:val="0"/>
          <w:dstrike w:val="0"/>
          <w:u w:val="none"/>
          <w:lang w:val="en-US" w:eastAsia="zh-CN"/>
        </w:rPr>
        <w:t>《办法》包括总则、监管内容、监管职责、监管方式、保障措施五章，共二十二条。</w:t>
      </w:r>
    </w:p>
    <w:p w14:paraId="60C65BD4">
      <w:pPr>
        <w:rPr>
          <w:rFonts w:hint="eastAsia" w:ascii="仿宋_GB2312" w:hAnsi="仿宋_GB2312" w:eastAsia="仿宋_GB2312" w:cs="仿宋_GB2312"/>
          <w:strike w:val="0"/>
          <w:dstrike w:val="0"/>
          <w:u w:val="none"/>
        </w:rPr>
      </w:pP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</w:rPr>
        <w:t>总则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val="en-US" w:eastAsia="zh-CN"/>
        </w:rPr>
        <w:t>为提升监管效能、防范化解风险、促进我省慈善事业高质量发展，依据《慈善法》《山东省慈善条例》等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法律法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val="en-US" w:eastAsia="zh-CN"/>
        </w:rPr>
        <w:t>规，构建“覆盖全面、责任清晰、协同高效、惩戒有力”的综合监管体系。坚持党的领导、依法合规、协同共治、权责清晰、务实高效五大原则。监管对象涵盖慈善组织、慈善信托及相关活动主体。民政部门统筹协调，相关部门依职责分工协同监管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eastAsia="zh-CN"/>
        </w:rPr>
        <w:t>。</w:t>
      </w:r>
    </w:p>
    <w:p w14:paraId="3080D340">
      <w:pPr>
        <w:rPr>
          <w:rFonts w:hint="eastAsia" w:ascii="仿宋_GB2312" w:hAnsi="仿宋_GB2312" w:eastAsia="仿宋_GB2312" w:cs="仿宋_GB2312"/>
          <w:strike w:val="0"/>
          <w:dstrike w:val="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）监管内容。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eastAsia="zh-CN"/>
        </w:rPr>
        <w:t>针对不同主体的属性和活动规律，实施了差异化、精细化的监管重点设计</w:t>
      </w:r>
      <w:r>
        <w:rPr>
          <w:rFonts w:hint="eastAsia" w:ascii="仿宋_GB2312" w:hAnsi="仿宋_GB2312" w:cs="仿宋_GB2312"/>
          <w:strike w:val="0"/>
          <w:dstrike w:val="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u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eastAsia="zh-CN"/>
        </w:rPr>
        <w:t>对慈善组织及其他从事公益活动的社会组织，重点监管党建工作、人员管理、财产管理、内部治理与业务活动等方面。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u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eastAsia="zh-CN"/>
        </w:rPr>
        <w:t>对慈善信托，重点监管受托人资质与履职、信托设立与备案、财产管理与运用、事务执行与信息公开、变更终止与清算等环节。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u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eastAsia="zh-CN"/>
        </w:rPr>
        <w:t>对其他参与或以公益慈善名义开展活动的组织及个人，区分机关事业单位、企业、基层群众性自治组织、个人及网络平台等类型，明确了相应的行为规范与监管重点。</w:t>
      </w:r>
      <w:r>
        <w:rPr>
          <w:rFonts w:hint="eastAsia" w:ascii="仿宋_GB2312" w:hAnsi="仿宋_GB2312" w:cs="仿宋_GB2312"/>
          <w:b/>
          <w:bCs/>
          <w:strike w:val="0"/>
          <w:dstrike w:val="0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u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eastAsia="zh-CN"/>
        </w:rPr>
        <w:t>设定了所有监管对象必须遵守的通用监管内容，强调维护国家安全和民族团结，防范化解各类风险。</w:t>
      </w:r>
    </w:p>
    <w:p w14:paraId="14419C47">
      <w:pPr>
        <w:rPr>
          <w:rFonts w:hint="eastAsia" w:ascii="仿宋_GB2312" w:hAnsi="仿宋_GB2312" w:eastAsia="仿宋_GB2312" w:cs="仿宋_GB2312"/>
          <w:strike w:val="0"/>
          <w:dstrike w:val="0"/>
          <w:u w:val="none"/>
        </w:rPr>
      </w:pP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）监管职责。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夯实了民政部门作为主管部门的核心职责，包括准入与资质管理、日常运行监管、慈善信托监管等。</w:t>
      </w:r>
      <w:r>
        <w:rPr>
          <w:rFonts w:hint="eastAsia" w:ascii="仿宋_GB2312" w:hAnsi="仿宋_GB2312" w:cs="仿宋_GB2312"/>
          <w:b/>
          <w:bCs/>
          <w:strike w:val="0"/>
          <w:dstrike w:val="0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明确了业务主管单位的前置审核、日常指导、风险监管及执法协作职责。</w:t>
      </w:r>
      <w:r>
        <w:rPr>
          <w:rFonts w:hint="eastAsia" w:ascii="仿宋_GB2312" w:hAnsi="仿宋_GB2312" w:cs="仿宋_GB2312"/>
          <w:b/>
          <w:bCs/>
          <w:strike w:val="0"/>
          <w:dstrike w:val="0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细化了政法、教育、残联、卫健等行业管理部门的行业管理与规范指导职责。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u w:val="none"/>
        </w:rPr>
        <w:t>四是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明确了宣传、统战、社会工作等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11个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相关部门在各自职责范围内的监管任务。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u w:val="none"/>
        </w:rPr>
        <w:t>五是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强调了社会监督、行业自律及专业机构第三方监督的作用，共同织密监管网络。</w:t>
      </w:r>
    </w:p>
    <w:p w14:paraId="3F528CF7">
      <w:pPr>
        <w:rPr>
          <w:rFonts w:hint="eastAsia" w:ascii="仿宋_GB2312" w:hAnsi="仿宋_GB2312" w:eastAsia="仿宋_GB2312" w:cs="仿宋_GB2312"/>
          <w:strike w:val="0"/>
          <w:dstrike w:val="0"/>
          <w:u w:val="none"/>
        </w:rPr>
      </w:pP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）监管方式。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val="en-US" w:eastAsia="zh-CN"/>
        </w:rPr>
        <w:t>以日常监管为基础，完善年报与信息公开，加强分类抽查、专项检查及行政指导。创新民政牵头会商，规范案件协查移送，推行联合执法与信息共享</w:t>
      </w:r>
      <w:r>
        <w:rPr>
          <w:rFonts w:hint="eastAsia" w:ascii="仿宋_GB2312" w:hAnsi="仿宋_GB2312" w:cs="仿宋_GB2312"/>
          <w:strike w:val="0"/>
          <w:dstrike w:val="0"/>
          <w:u w:val="none"/>
          <w:lang w:val="en-US" w:eastAsia="zh-CN"/>
        </w:rPr>
        <w:t>的协同机制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val="en-US" w:eastAsia="zh-CN"/>
        </w:rPr>
        <w:t>。根据违法违规情节轻重，建立梯度处置体系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</w:rPr>
        <w:t>。</w:t>
      </w:r>
    </w:p>
    <w:p w14:paraId="7395814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trike w:val="0"/>
          <w:dstrike w:val="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trike w:val="0"/>
          <w:dstrike w:val="0"/>
          <w:u w:val="none"/>
          <w:lang w:eastAsia="zh-CN"/>
        </w:rPr>
        <w:t>）保障措施。</w:t>
      </w:r>
      <w:r>
        <w:rPr>
          <w:rFonts w:hint="eastAsia" w:ascii="仿宋_GB2312" w:hAnsi="仿宋_GB2312" w:eastAsia="仿宋_GB2312" w:cs="仿宋_GB2312"/>
          <w:strike w:val="0"/>
          <w:dstrike w:val="0"/>
          <w:u w:val="none"/>
          <w:lang w:val="en-US" w:eastAsia="zh-CN"/>
        </w:rPr>
        <w:t>加强组织协调，落实党的领导，严肃追责监管不力、推诿扯皮等问题。强化队伍建设，规范执法行为，提升执法能力。推进智慧监管，完善慈善数据库，利用大数据、人工智能等技术加强动态监测与风险分析。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371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C9F4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C9F4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6CA6"/>
    <w:rsid w:val="030624A9"/>
    <w:rsid w:val="0BA04A03"/>
    <w:rsid w:val="1F3935DE"/>
    <w:rsid w:val="25A82DD6"/>
    <w:rsid w:val="27B127B8"/>
    <w:rsid w:val="2B16531C"/>
    <w:rsid w:val="2B7F35C7"/>
    <w:rsid w:val="2CDA54FB"/>
    <w:rsid w:val="3B2E033C"/>
    <w:rsid w:val="424F76A3"/>
    <w:rsid w:val="42CA5069"/>
    <w:rsid w:val="4C6711CD"/>
    <w:rsid w:val="603E6E63"/>
    <w:rsid w:val="65F22A14"/>
    <w:rsid w:val="745E1D23"/>
    <w:rsid w:val="77BE87EF"/>
    <w:rsid w:val="7BA808FC"/>
    <w:rsid w:val="C80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39721552-d3bf-4391-a970-950722d170f2</errorID>
      <errorWord xmlns="http://schemas.wps.cn/vas-ai-hub/contract-review">以习近平总书记为核心的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以习近平同志为核心的</item>
      </candidateList>
      <explain xmlns="http://schemas.wps.cn/vas-ai-hub/contract-review"/>
      <paraID xmlns="http://schemas.wps.cn/vas-ai-hub/contract-review"> E26AE71</paraID>
      <start xmlns="http://schemas.wps.cn/vas-ai-hub/contract-review">45</start>
      <end xmlns="http://schemas.wps.cn/vas-ai-hub/contract-review">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411fca07-7a56-48ef-9bdd-08ce9a51a019</errorID>
      <errorWord xmlns="http://schemas.wps.cn/vas-ai-hub/contract-review">省委省政府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省委、省政府</item>
      </candidateList>
      <explain xmlns="http://schemas.wps.cn/vas-ai-hub/contract-review">注意检查当前固定表述标点是否使用规范。</explain>
      <paraID xmlns="http://schemas.wps.cn/vas-ai-hub/contract-review"> E26AE71</paraID>
      <start xmlns="http://schemas.wps.cn/vas-ai-hub/contract-review">66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98927f45-38ea-4187-a486-e0d2a31dcc6f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1F42A43F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979ea00a-0771-4f5a-9db6-b705a27e0376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262FF307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a0c9f67f-ac86-43a8-8ccd-bea2e4d34475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  1AE8AD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f2ab34c6-7e30-45f5-aa2d-d063ac2aeb98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3E5A0600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86b4a8ed-384b-420c-a6fa-e1d073305a2d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1AA8A725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662a1-3002-49ed-a6b2-5d700f0ca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2413</Words>
  <Characters>2419</Characters>
  <Lines>0</Lines>
  <Paragraphs>0</Paragraphs>
  <TotalTime>13</TotalTime>
  <ScaleCrop>false</ScaleCrop>
  <LinksUpToDate>false</LinksUpToDate>
  <CharactersWithSpaces>2420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2025-04-16T12:44:00Z</dcterms:created>
  <dc:creator>dell</dc:creator>
  <cp:lastModifiedBy>user</cp:lastModifiedBy>
  <cp:lastPrinted>2026-01-08T06:31:00Z</cp:lastPrinted>
  <dcterms:modified xsi:type="dcterms:W3CDTF">2026-04-14T15:16:58Z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eyJoZGlkIjoiNWY5MmI5YmQ3Y2U5YmY5ZGMwMDYyNmM3NGZiNGJiOTgiLCJ1c2VySWQiOiIyMTc4MjYwMDMifQ==</vt:lpwstr>
  </property>
  <property fmtid="{D5CDD505-2E9C-101B-9397-08002B2CF9AE}" pid="4" name="ICV">
    <vt:lpwstr>51E97233A255A9656A70DC69719C69BB</vt:lpwstr>
  </property>
</Properties>
</file>