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84D8D">
      <w:pPr>
        <w:adjustRightInd w:val="0"/>
        <w:snapToGrid w:val="0"/>
        <w:spacing w:line="590" w:lineRule="exact"/>
        <w:jc w:val="left"/>
        <w:rPr>
          <w:rFonts w:ascii="黑体" w:hAnsi="黑体" w:eastAsia="黑体" w:cs="仿宋_GB2312"/>
          <w:kern w:val="0"/>
        </w:rPr>
      </w:pPr>
      <w:bookmarkStart w:id="0" w:name="_GoBack"/>
      <w:bookmarkEnd w:id="0"/>
    </w:p>
    <w:p w14:paraId="7FBBDB93">
      <w:pPr>
        <w:adjustRightInd w:val="0"/>
        <w:snapToGrid w:val="0"/>
        <w:spacing w:line="590" w:lineRule="exact"/>
        <w:jc w:val="center"/>
        <w:rPr>
          <w:rFonts w:hint="eastAsia" w:ascii="方正小标宋简体" w:hAnsi="黑体" w:eastAsia="方正小标宋简体" w:cs="仿宋_GB2312"/>
          <w:kern w:val="0"/>
          <w:sz w:val="44"/>
          <w:szCs w:val="44"/>
        </w:rPr>
      </w:pPr>
      <w:r>
        <w:rPr>
          <w:rFonts w:hint="eastAsia" w:ascii="方正小标宋简体" w:hAnsi="黑体" w:eastAsia="方正小标宋简体" w:cs="仿宋_GB2312"/>
          <w:kern w:val="0"/>
          <w:sz w:val="44"/>
          <w:szCs w:val="44"/>
        </w:rPr>
        <w:t>山东省民政行政处罚裁量基准（2026年版）</w:t>
      </w:r>
    </w:p>
    <w:p w14:paraId="0733BE58">
      <w:pPr>
        <w:adjustRightInd w:val="0"/>
        <w:snapToGrid w:val="0"/>
        <w:spacing w:line="590" w:lineRule="exact"/>
        <w:jc w:val="center"/>
        <w:rPr>
          <w:rFonts w:hint="eastAsia" w:ascii="方正小标宋简体" w:hAnsi="黑体" w:eastAsia="方正小标宋简体" w:cs="仿宋_GB2312"/>
          <w:kern w:val="0"/>
          <w:sz w:val="44"/>
          <w:szCs w:val="44"/>
        </w:rPr>
      </w:pPr>
    </w:p>
    <w:tbl>
      <w:tblPr>
        <w:tblStyle w:val="12"/>
        <w:tblW w:w="50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61"/>
        <w:gridCol w:w="11"/>
        <w:gridCol w:w="2994"/>
        <w:gridCol w:w="2680"/>
        <w:gridCol w:w="2651"/>
        <w:gridCol w:w="675"/>
        <w:gridCol w:w="2930"/>
        <w:gridCol w:w="1751"/>
      </w:tblGrid>
      <w:tr w14:paraId="7E90D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exact"/>
          <w:tblHeader/>
          <w:jc w:val="center"/>
        </w:trPr>
        <w:tc>
          <w:tcPr>
            <w:tcW w:w="197" w:type="pct"/>
            <w:vMerge w:val="restart"/>
            <w:noWrap/>
            <w:vAlign w:val="center"/>
          </w:tcPr>
          <w:p w14:paraId="7E46CF62">
            <w:pPr>
              <w:adjustRightInd w:val="0"/>
              <w:snapToGrid w:val="0"/>
              <w:jc w:val="center"/>
              <w:rPr>
                <w:rFonts w:hAnsi="宋体" w:cs="宋体"/>
                <w:b/>
                <w:color w:val="000000" w:themeColor="text1"/>
                <w:kern w:val="0"/>
                <w:sz w:val="21"/>
                <w:szCs w:val="21"/>
                <w14:textFill>
                  <w14:solidFill>
                    <w14:schemeClr w14:val="tx1"/>
                  </w14:solidFill>
                </w14:textFill>
              </w:rPr>
            </w:pPr>
            <w:r>
              <w:rPr>
                <w:rFonts w:hint="eastAsia" w:hAnsi="宋体" w:cs="宋体"/>
                <w:b/>
                <w:color w:val="000000" w:themeColor="text1"/>
                <w:kern w:val="0"/>
                <w:sz w:val="21"/>
                <w:szCs w:val="21"/>
                <w14:textFill>
                  <w14:solidFill>
                    <w14:schemeClr w14:val="tx1"/>
                  </w14:solidFill>
                </w14:textFill>
              </w:rPr>
              <w:t>序号</w:t>
            </w:r>
          </w:p>
        </w:tc>
        <w:tc>
          <w:tcPr>
            <w:tcW w:w="1054" w:type="pct"/>
            <w:gridSpan w:val="2"/>
            <w:vMerge w:val="restart"/>
            <w:noWrap/>
            <w:vAlign w:val="center"/>
          </w:tcPr>
          <w:p w14:paraId="66056C88">
            <w:pPr>
              <w:adjustRightInd w:val="0"/>
              <w:snapToGrid w:val="0"/>
              <w:jc w:val="center"/>
              <w:rPr>
                <w:rFonts w:hAnsi="宋体" w:cs="宋体"/>
                <w:b/>
                <w:color w:val="000000" w:themeColor="text1"/>
                <w:kern w:val="0"/>
                <w:sz w:val="21"/>
                <w:szCs w:val="21"/>
                <w14:textFill>
                  <w14:solidFill>
                    <w14:schemeClr w14:val="tx1"/>
                  </w14:solidFill>
                </w14:textFill>
              </w:rPr>
            </w:pPr>
            <w:r>
              <w:rPr>
                <w:rFonts w:hint="eastAsia" w:hAnsi="宋体" w:cs="宋体"/>
                <w:b/>
                <w:color w:val="000000" w:themeColor="text1"/>
                <w:kern w:val="0"/>
                <w:sz w:val="21"/>
                <w:szCs w:val="21"/>
                <w14:textFill>
                  <w14:solidFill>
                    <w14:schemeClr w14:val="tx1"/>
                  </w14:solidFill>
                </w14:textFill>
              </w:rPr>
              <w:t>违法行为</w:t>
            </w:r>
          </w:p>
        </w:tc>
        <w:tc>
          <w:tcPr>
            <w:tcW w:w="1870" w:type="pct"/>
            <w:gridSpan w:val="2"/>
            <w:noWrap/>
            <w:vAlign w:val="center"/>
          </w:tcPr>
          <w:p w14:paraId="22CE7908">
            <w:pPr>
              <w:adjustRightInd w:val="0"/>
              <w:snapToGrid w:val="0"/>
              <w:jc w:val="center"/>
              <w:rPr>
                <w:rFonts w:hAnsi="宋体" w:cs="宋体"/>
                <w:b/>
                <w:color w:val="000000" w:themeColor="text1"/>
                <w:kern w:val="0"/>
                <w:sz w:val="21"/>
                <w:szCs w:val="21"/>
                <w14:textFill>
                  <w14:solidFill>
                    <w14:schemeClr w14:val="tx1"/>
                  </w14:solidFill>
                </w14:textFill>
              </w:rPr>
            </w:pPr>
            <w:r>
              <w:rPr>
                <w:rFonts w:hint="eastAsia" w:hAnsi="宋体" w:cs="宋体"/>
                <w:b/>
                <w:color w:val="000000" w:themeColor="text1"/>
                <w:kern w:val="0"/>
                <w:sz w:val="21"/>
                <w:szCs w:val="21"/>
                <w14:textFill>
                  <w14:solidFill>
                    <w14:schemeClr w14:val="tx1"/>
                  </w14:solidFill>
                </w14:textFill>
              </w:rPr>
              <w:t>法定依据</w:t>
            </w:r>
          </w:p>
        </w:tc>
        <w:tc>
          <w:tcPr>
            <w:tcW w:w="237" w:type="pct"/>
            <w:vMerge w:val="restart"/>
            <w:noWrap/>
            <w:vAlign w:val="center"/>
          </w:tcPr>
          <w:p w14:paraId="4B92A8FB">
            <w:pPr>
              <w:adjustRightInd w:val="0"/>
              <w:snapToGrid w:val="0"/>
              <w:jc w:val="center"/>
              <w:rPr>
                <w:rFonts w:hAnsi="宋体" w:cs="宋体"/>
                <w:b/>
                <w:color w:val="000000" w:themeColor="text1"/>
                <w:kern w:val="0"/>
                <w:sz w:val="21"/>
                <w:szCs w:val="21"/>
                <w14:textFill>
                  <w14:solidFill>
                    <w14:schemeClr w14:val="tx1"/>
                  </w14:solidFill>
                </w14:textFill>
              </w:rPr>
            </w:pPr>
            <w:r>
              <w:rPr>
                <w:rFonts w:hint="eastAsia" w:hAnsi="宋体" w:cs="宋体"/>
                <w:b/>
                <w:color w:val="000000" w:themeColor="text1"/>
                <w:kern w:val="0"/>
                <w:sz w:val="21"/>
                <w:szCs w:val="21"/>
                <w14:textFill>
                  <w14:solidFill>
                    <w14:schemeClr w14:val="tx1"/>
                  </w14:solidFill>
                </w14:textFill>
              </w:rPr>
              <w:t>裁量</w:t>
            </w:r>
          </w:p>
          <w:p w14:paraId="0BA52699">
            <w:pPr>
              <w:adjustRightInd w:val="0"/>
              <w:snapToGrid w:val="0"/>
              <w:jc w:val="center"/>
              <w:rPr>
                <w:rFonts w:hAnsi="宋体" w:cs="宋体"/>
                <w:b/>
                <w:color w:val="000000" w:themeColor="text1"/>
                <w:kern w:val="0"/>
                <w:sz w:val="21"/>
                <w:szCs w:val="21"/>
                <w14:textFill>
                  <w14:solidFill>
                    <w14:schemeClr w14:val="tx1"/>
                  </w14:solidFill>
                </w14:textFill>
              </w:rPr>
            </w:pPr>
            <w:r>
              <w:rPr>
                <w:rFonts w:hint="eastAsia" w:hAnsi="宋体" w:cs="宋体"/>
                <w:b/>
                <w:color w:val="000000" w:themeColor="text1"/>
                <w:kern w:val="0"/>
                <w:sz w:val="21"/>
                <w:szCs w:val="21"/>
                <w14:textFill>
                  <w14:solidFill>
                    <w14:schemeClr w14:val="tx1"/>
                  </w14:solidFill>
                </w14:textFill>
              </w:rPr>
              <w:t>阶次</w:t>
            </w:r>
          </w:p>
        </w:tc>
        <w:tc>
          <w:tcPr>
            <w:tcW w:w="1028" w:type="pct"/>
            <w:vMerge w:val="restart"/>
            <w:noWrap/>
            <w:vAlign w:val="center"/>
          </w:tcPr>
          <w:p w14:paraId="1D456115">
            <w:pPr>
              <w:adjustRightInd w:val="0"/>
              <w:snapToGrid w:val="0"/>
              <w:jc w:val="center"/>
              <w:rPr>
                <w:rFonts w:hAnsi="宋体" w:cs="宋体"/>
                <w:b/>
                <w:color w:val="000000" w:themeColor="text1"/>
                <w:kern w:val="0"/>
                <w:sz w:val="21"/>
                <w:szCs w:val="21"/>
                <w14:textFill>
                  <w14:solidFill>
                    <w14:schemeClr w14:val="tx1"/>
                  </w14:solidFill>
                </w14:textFill>
              </w:rPr>
            </w:pPr>
            <w:r>
              <w:rPr>
                <w:rFonts w:hint="eastAsia" w:hAnsi="宋体" w:cs="宋体"/>
                <w:b/>
                <w:color w:val="000000" w:themeColor="text1"/>
                <w:kern w:val="0"/>
                <w:sz w:val="21"/>
                <w:szCs w:val="21"/>
                <w14:textFill>
                  <w14:solidFill>
                    <w14:schemeClr w14:val="tx1"/>
                  </w14:solidFill>
                </w14:textFill>
              </w:rPr>
              <w:t>适用条件</w:t>
            </w:r>
          </w:p>
        </w:tc>
        <w:tc>
          <w:tcPr>
            <w:tcW w:w="612" w:type="pct"/>
            <w:vMerge w:val="restart"/>
            <w:noWrap/>
            <w:vAlign w:val="center"/>
          </w:tcPr>
          <w:p w14:paraId="71EB3736">
            <w:pPr>
              <w:adjustRightInd w:val="0"/>
              <w:snapToGrid w:val="0"/>
              <w:jc w:val="center"/>
              <w:rPr>
                <w:rFonts w:hAnsi="宋体" w:cs="宋体"/>
                <w:b/>
                <w:color w:val="000000" w:themeColor="text1"/>
                <w:kern w:val="0"/>
                <w:sz w:val="21"/>
                <w:szCs w:val="21"/>
                <w14:textFill>
                  <w14:solidFill>
                    <w14:schemeClr w14:val="tx1"/>
                  </w14:solidFill>
                </w14:textFill>
              </w:rPr>
            </w:pPr>
            <w:r>
              <w:rPr>
                <w:rFonts w:hint="eastAsia" w:hAnsi="宋体" w:cs="宋体"/>
                <w:b/>
                <w:color w:val="000000" w:themeColor="text1"/>
                <w:kern w:val="0"/>
                <w:sz w:val="21"/>
                <w:szCs w:val="21"/>
                <w14:textFill>
                  <w14:solidFill>
                    <w14:schemeClr w14:val="tx1"/>
                  </w14:solidFill>
                </w14:textFill>
              </w:rPr>
              <w:t>处罚标准</w:t>
            </w:r>
          </w:p>
        </w:tc>
      </w:tr>
      <w:tr w14:paraId="6D2A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7" w:hRule="exact"/>
          <w:tblHeader/>
          <w:jc w:val="center"/>
        </w:trPr>
        <w:tc>
          <w:tcPr>
            <w:tcW w:w="197" w:type="pct"/>
            <w:vMerge w:val="continue"/>
            <w:vAlign w:val="center"/>
          </w:tcPr>
          <w:p w14:paraId="6F6674C2">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35FB7851">
            <w:pPr>
              <w:adjustRightInd w:val="0"/>
              <w:snapToGrid w:val="0"/>
              <w:rPr>
                <w:rFonts w:hAnsi="宋体" w:cs="宋体"/>
                <w:color w:val="000000" w:themeColor="text1"/>
                <w:kern w:val="0"/>
                <w:sz w:val="21"/>
                <w:szCs w:val="21"/>
                <w14:textFill>
                  <w14:solidFill>
                    <w14:schemeClr w14:val="tx1"/>
                  </w14:solidFill>
                </w14:textFill>
              </w:rPr>
            </w:pPr>
          </w:p>
        </w:tc>
        <w:tc>
          <w:tcPr>
            <w:tcW w:w="940" w:type="pct"/>
            <w:noWrap/>
            <w:vAlign w:val="center"/>
          </w:tcPr>
          <w:p w14:paraId="30F607FE">
            <w:pPr>
              <w:adjustRightInd w:val="0"/>
              <w:snapToGrid w:val="0"/>
              <w:jc w:val="center"/>
              <w:rPr>
                <w:rFonts w:hAnsi="宋体" w:cs="宋体"/>
                <w:b/>
                <w:color w:val="000000" w:themeColor="text1"/>
                <w:kern w:val="0"/>
                <w:sz w:val="21"/>
                <w:szCs w:val="21"/>
                <w14:textFill>
                  <w14:solidFill>
                    <w14:schemeClr w14:val="tx1"/>
                  </w14:solidFill>
                </w14:textFill>
              </w:rPr>
            </w:pPr>
            <w:r>
              <w:rPr>
                <w:rFonts w:hint="eastAsia" w:hAnsi="宋体" w:cs="宋体"/>
                <w:b/>
                <w:color w:val="000000" w:themeColor="text1"/>
                <w:kern w:val="0"/>
                <w:sz w:val="21"/>
                <w:szCs w:val="21"/>
                <w14:textFill>
                  <w14:solidFill>
                    <w14:schemeClr w14:val="tx1"/>
                  </w14:solidFill>
                </w14:textFill>
              </w:rPr>
              <w:t>违法依据</w:t>
            </w:r>
          </w:p>
        </w:tc>
        <w:tc>
          <w:tcPr>
            <w:tcW w:w="929" w:type="pct"/>
            <w:noWrap/>
            <w:vAlign w:val="center"/>
          </w:tcPr>
          <w:p w14:paraId="6509CC78">
            <w:pPr>
              <w:adjustRightInd w:val="0"/>
              <w:snapToGrid w:val="0"/>
              <w:jc w:val="center"/>
              <w:rPr>
                <w:rFonts w:hAnsi="宋体" w:cs="宋体"/>
                <w:b/>
                <w:color w:val="000000" w:themeColor="text1"/>
                <w:kern w:val="0"/>
                <w:sz w:val="21"/>
                <w:szCs w:val="21"/>
                <w14:textFill>
                  <w14:solidFill>
                    <w14:schemeClr w14:val="tx1"/>
                  </w14:solidFill>
                </w14:textFill>
              </w:rPr>
            </w:pPr>
            <w:r>
              <w:rPr>
                <w:rFonts w:hint="eastAsia" w:hAnsi="宋体" w:cs="宋体"/>
                <w:b/>
                <w:color w:val="000000" w:themeColor="text1"/>
                <w:kern w:val="0"/>
                <w:sz w:val="21"/>
                <w:szCs w:val="21"/>
                <w14:textFill>
                  <w14:solidFill>
                    <w14:schemeClr w14:val="tx1"/>
                  </w14:solidFill>
                </w14:textFill>
              </w:rPr>
              <w:t>处罚依据</w:t>
            </w:r>
          </w:p>
        </w:tc>
        <w:tc>
          <w:tcPr>
            <w:tcW w:w="237" w:type="pct"/>
            <w:vMerge w:val="continue"/>
            <w:vAlign w:val="center"/>
          </w:tcPr>
          <w:p w14:paraId="6F50522E">
            <w:pPr>
              <w:adjustRightInd w:val="0"/>
              <w:snapToGrid w:val="0"/>
              <w:jc w:val="center"/>
              <w:rPr>
                <w:rFonts w:hAnsi="宋体" w:cs="宋体"/>
                <w:color w:val="000000" w:themeColor="text1"/>
                <w:kern w:val="0"/>
                <w:sz w:val="21"/>
                <w:szCs w:val="21"/>
                <w14:textFill>
                  <w14:solidFill>
                    <w14:schemeClr w14:val="tx1"/>
                  </w14:solidFill>
                </w14:textFill>
              </w:rPr>
            </w:pPr>
          </w:p>
        </w:tc>
        <w:tc>
          <w:tcPr>
            <w:tcW w:w="1028" w:type="pct"/>
            <w:vMerge w:val="continue"/>
            <w:vAlign w:val="center"/>
          </w:tcPr>
          <w:p w14:paraId="6C1A802A">
            <w:pPr>
              <w:adjustRightInd w:val="0"/>
              <w:snapToGrid w:val="0"/>
              <w:rPr>
                <w:rFonts w:hAnsi="宋体" w:cs="宋体"/>
                <w:color w:val="000000" w:themeColor="text1"/>
                <w:kern w:val="0"/>
                <w:sz w:val="21"/>
                <w:szCs w:val="21"/>
                <w14:textFill>
                  <w14:solidFill>
                    <w14:schemeClr w14:val="tx1"/>
                  </w14:solidFill>
                </w14:textFill>
              </w:rPr>
            </w:pPr>
          </w:p>
        </w:tc>
        <w:tc>
          <w:tcPr>
            <w:tcW w:w="612" w:type="pct"/>
            <w:vMerge w:val="continue"/>
            <w:vAlign w:val="center"/>
          </w:tcPr>
          <w:p w14:paraId="2F5E0BE2">
            <w:pPr>
              <w:adjustRightInd w:val="0"/>
              <w:snapToGrid w:val="0"/>
              <w:rPr>
                <w:rFonts w:hAnsi="宋体" w:cs="宋体"/>
                <w:color w:val="000000" w:themeColor="text1"/>
                <w:kern w:val="0"/>
                <w:sz w:val="21"/>
                <w:szCs w:val="21"/>
                <w14:textFill>
                  <w14:solidFill>
                    <w14:schemeClr w14:val="tx1"/>
                  </w14:solidFill>
                </w14:textFill>
              </w:rPr>
            </w:pPr>
          </w:p>
        </w:tc>
      </w:tr>
      <w:tr w14:paraId="6E4E0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exact"/>
          <w:jc w:val="center"/>
        </w:trPr>
        <w:tc>
          <w:tcPr>
            <w:tcW w:w="5000" w:type="pct"/>
            <w:gridSpan w:val="8"/>
            <w:noWrap/>
            <w:vAlign w:val="center"/>
          </w:tcPr>
          <w:p w14:paraId="7267E050">
            <w:pPr>
              <w:adjustRightInd w:val="0"/>
              <w:snapToGrid w:val="0"/>
              <w:rPr>
                <w:rFonts w:ascii="黑体" w:hAnsi="黑体" w:eastAsia="黑体" w:cs="宋体"/>
                <w:color w:val="000000" w:themeColor="text1"/>
                <w:kern w:val="0"/>
                <w:sz w:val="21"/>
                <w:szCs w:val="21"/>
                <w14:textFill>
                  <w14:solidFill>
                    <w14:schemeClr w14:val="tx1"/>
                  </w14:solidFill>
                </w14:textFill>
              </w:rPr>
            </w:pPr>
            <w:r>
              <w:rPr>
                <w:rFonts w:hint="eastAsia" w:ascii="黑体" w:hAnsi="黑体" w:eastAsia="黑体" w:cs="宋体"/>
                <w:color w:val="000000" w:themeColor="text1"/>
                <w:kern w:val="0"/>
                <w:sz w:val="21"/>
                <w:szCs w:val="21"/>
                <w14:textFill>
                  <w14:solidFill>
                    <w14:schemeClr w14:val="tx1"/>
                  </w14:solidFill>
                </w14:textFill>
              </w:rPr>
              <w:t>一、社会团体登记管理工作</w:t>
            </w:r>
          </w:p>
        </w:tc>
      </w:tr>
      <w:tr w14:paraId="0F984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916" w:hRule="exact"/>
          <w:jc w:val="center"/>
        </w:trPr>
        <w:tc>
          <w:tcPr>
            <w:tcW w:w="197" w:type="pct"/>
            <w:noWrap/>
            <w:vAlign w:val="center"/>
          </w:tcPr>
          <w:p w14:paraId="66F8435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w:t>
            </w:r>
          </w:p>
        </w:tc>
        <w:tc>
          <w:tcPr>
            <w:tcW w:w="1054" w:type="pct"/>
            <w:gridSpan w:val="2"/>
            <w:noWrap/>
            <w:vAlign w:val="center"/>
          </w:tcPr>
          <w:p w14:paraId="7DDA9C2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社会团体涂改、出租、出借《社会团体法人登记证书》或者出租、出借社会团体印章。</w:t>
            </w:r>
          </w:p>
          <w:p w14:paraId="05197BA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具体主要有：</w:t>
            </w:r>
          </w:p>
          <w:p w14:paraId="2D7E794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1.社会团体涂改《社会团体法人登记证书》（名称、业务范围、法定代表人、住所、注册资金、业务主管单位、活动地域、有效期限、统一社会信用代码、发证机关、发证日期、年检记录等）的；</w:t>
            </w:r>
          </w:p>
          <w:p w14:paraId="36F53E9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2.社会团体出租《社会团体法人登记证书》的；</w:t>
            </w:r>
          </w:p>
          <w:p w14:paraId="45694D0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3.社会团体出借《社会团体法人登记证书》的。</w:t>
            </w:r>
          </w:p>
        </w:tc>
        <w:tc>
          <w:tcPr>
            <w:tcW w:w="940" w:type="pct"/>
            <w:noWrap/>
            <w:vAlign w:val="center"/>
          </w:tcPr>
          <w:p w14:paraId="00F665E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54FCFF3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（一）涂改、出租、出借《社会团体法人登记证书》，或者出租、出借社会团体印章的；</w:t>
            </w:r>
          </w:p>
          <w:p w14:paraId="571DBBD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34CFC48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929" w:type="pct"/>
            <w:noWrap/>
            <w:vAlign w:val="center"/>
          </w:tcPr>
          <w:p w14:paraId="1BDC2C4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03B3844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（一）涂改、出租、出借《社会团体法人登记证书》，或者出租、出借社会团体印章的；</w:t>
            </w:r>
          </w:p>
          <w:p w14:paraId="35D806E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222F1F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2AB1CEC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5FA2E6F7">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57B7D5E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1.涂改、出租、出借《社会团体法人登记证书》，或者出租、出借社会团体印章，造成社会不良影响较小；</w:t>
            </w:r>
          </w:p>
          <w:p w14:paraId="445A6EB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2.违法行为持续时间6个月以下；</w:t>
            </w:r>
          </w:p>
          <w:p w14:paraId="29DC2DC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3.违法经营额或者违法所得5万元以下；</w:t>
            </w:r>
          </w:p>
          <w:p w14:paraId="45C3D3F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4.具有其他情节较轻情形。</w:t>
            </w:r>
          </w:p>
        </w:tc>
        <w:tc>
          <w:tcPr>
            <w:tcW w:w="612" w:type="pct"/>
            <w:noWrap/>
            <w:vAlign w:val="center"/>
          </w:tcPr>
          <w:p w14:paraId="1589CDE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警告。没收违法经营额或者违法所得。</w:t>
            </w:r>
          </w:p>
        </w:tc>
      </w:tr>
      <w:tr w14:paraId="255A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181" w:hRule="exact"/>
          <w:jc w:val="center"/>
        </w:trPr>
        <w:tc>
          <w:tcPr>
            <w:tcW w:w="197" w:type="pct"/>
            <w:vAlign w:val="center"/>
          </w:tcPr>
          <w:p w14:paraId="1554CF9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w:t>
            </w:r>
          </w:p>
        </w:tc>
        <w:tc>
          <w:tcPr>
            <w:tcW w:w="1054" w:type="pct"/>
            <w:gridSpan w:val="2"/>
            <w:vAlign w:val="center"/>
          </w:tcPr>
          <w:p w14:paraId="6A46B22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社会团体涂改、出租、出借《社会团体法人登记证书》。</w:t>
            </w:r>
          </w:p>
          <w:p w14:paraId="5E3189F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具体主要有：</w:t>
            </w:r>
          </w:p>
          <w:p w14:paraId="77D2475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1.社会团体涂改《社会团体法人登记证书》（名称、业务范围、法定代表人、住所、注册资金、业务主管单位、活动地域、有效期限、统一社会信用代码、发证机关、发证日期、年检记录等）的；</w:t>
            </w:r>
          </w:p>
          <w:p w14:paraId="566F61C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2.社会团体出租《社会团体法人登记证书》的；</w:t>
            </w:r>
          </w:p>
          <w:p w14:paraId="6CD3CD4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3.社会团体出借《社会团体法人登记证书》的。</w:t>
            </w:r>
          </w:p>
        </w:tc>
        <w:tc>
          <w:tcPr>
            <w:tcW w:w="940" w:type="pct"/>
            <w:vAlign w:val="center"/>
          </w:tcPr>
          <w:p w14:paraId="1C474FA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393A839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（一）涂改、出租、出借《社会团体法人登记证书》，或者出租、出借社会团体印章的；</w:t>
            </w:r>
          </w:p>
          <w:p w14:paraId="43B1662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65519C2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929" w:type="pct"/>
            <w:vAlign w:val="center"/>
          </w:tcPr>
          <w:p w14:paraId="0035798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3C2993B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（一）涂改、出租、出借《社会团体法人登记证书》，或者出租、出借社会团体印章的；</w:t>
            </w:r>
          </w:p>
          <w:p w14:paraId="7E260F1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2DC58D3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45B7641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788B831D">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43AEBB8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1.涂改、出租、出借《社会团体法人登记证书》，或者出租、出借社会团体印章，造成较大社会不良影响；</w:t>
            </w:r>
          </w:p>
          <w:p w14:paraId="740DE97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2.违法行为持续时间6个月以上1年以下，或有2次以上4次以下违法行为；</w:t>
            </w:r>
          </w:p>
          <w:p w14:paraId="421329C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3.违法经营额或者违法所得5万元以上20万元以下；</w:t>
            </w:r>
          </w:p>
          <w:p w14:paraId="54AA209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4.具有其他情节较重情形。</w:t>
            </w:r>
          </w:p>
        </w:tc>
        <w:tc>
          <w:tcPr>
            <w:tcW w:w="612" w:type="pct"/>
            <w:noWrap/>
            <w:vAlign w:val="center"/>
          </w:tcPr>
          <w:p w14:paraId="5C36AE3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责令限期停止活动（1至6个月）。没收违法经营额或者违法所得，可以并处违法经营额1倍以上2倍以下罚款或者违法所得3倍以上4倍以下罚款。</w:t>
            </w:r>
          </w:p>
        </w:tc>
      </w:tr>
      <w:tr w14:paraId="7368A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181" w:hRule="exact"/>
          <w:jc w:val="center"/>
        </w:trPr>
        <w:tc>
          <w:tcPr>
            <w:tcW w:w="197" w:type="pct"/>
            <w:shd w:val="clear" w:color="auto" w:fill="auto"/>
            <w:vAlign w:val="center"/>
          </w:tcPr>
          <w:p w14:paraId="3A7683A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w:t>
            </w:r>
          </w:p>
        </w:tc>
        <w:tc>
          <w:tcPr>
            <w:tcW w:w="1054" w:type="pct"/>
            <w:gridSpan w:val="2"/>
            <w:shd w:val="clear" w:color="auto" w:fill="auto"/>
            <w:vAlign w:val="center"/>
          </w:tcPr>
          <w:p w14:paraId="172FAB8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社会团体涂改、出租、出借《社会团体法人登记证书》。</w:t>
            </w:r>
          </w:p>
          <w:p w14:paraId="7390609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具体主要有：</w:t>
            </w:r>
          </w:p>
          <w:p w14:paraId="6715C1E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1.社会团体涂改《社会团体法人登记证书》（名称、业务范围、法定代表人、住所、注册资金、业务主管单位、活动地域、有效期限、统一社会信用代码、发证机关、发证日期、年检记录等）的；</w:t>
            </w:r>
          </w:p>
          <w:p w14:paraId="35A4A7A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2.社会团体出租《社会团体法人登记证书》的；</w:t>
            </w:r>
          </w:p>
          <w:p w14:paraId="2087FA6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3.社会团体出借《社会团体法人登记证书》的。</w:t>
            </w:r>
          </w:p>
        </w:tc>
        <w:tc>
          <w:tcPr>
            <w:tcW w:w="940" w:type="pct"/>
            <w:shd w:val="clear" w:color="auto" w:fill="auto"/>
            <w:vAlign w:val="center"/>
          </w:tcPr>
          <w:p w14:paraId="5F7EA11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23A1486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（一）涂改、出租、出借《社会团体法人登记证书》，或者出租、出借社会团体印章的；</w:t>
            </w:r>
          </w:p>
          <w:p w14:paraId="04EDE5B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4D63B3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929" w:type="pct"/>
            <w:shd w:val="clear" w:color="auto" w:fill="auto"/>
            <w:vAlign w:val="center"/>
          </w:tcPr>
          <w:p w14:paraId="0E26A7A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794B82F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（一）涂改、出租、出借《社会团体法人登记证书》，或者出租、出借社会团体印章的；</w:t>
            </w:r>
          </w:p>
          <w:p w14:paraId="3EBDAC8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0505878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shd w:val="clear" w:color="auto" w:fill="auto"/>
            <w:noWrap/>
            <w:vAlign w:val="center"/>
          </w:tcPr>
          <w:p w14:paraId="5849935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shd w:val="clear" w:color="auto" w:fill="auto"/>
            <w:noWrap/>
            <w:vAlign w:val="center"/>
          </w:tcPr>
          <w:p w14:paraId="6B754244">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08CFEB3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1.涂改、出租、出借《社会团体法人登记证书》，或者出租、出借社会团体印章，造成严重社会不良影响；</w:t>
            </w:r>
          </w:p>
          <w:p w14:paraId="3B2C61F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2.违法行为持续时间1年以上，或有4次以上违法行为；</w:t>
            </w:r>
          </w:p>
          <w:p w14:paraId="784F119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3.违法经营额或者违法所得20万元以上；</w:t>
            </w:r>
          </w:p>
          <w:p w14:paraId="77C42E6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4.2年内曾因涂改、出租、出借《社会团体法人登记证书》，或者出租、出借社会团体印章受到行政处罚，经责令改正后拒不改正；</w:t>
            </w:r>
          </w:p>
          <w:p w14:paraId="57C19CB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5.有其他情节严重情形。</w:t>
            </w:r>
          </w:p>
        </w:tc>
        <w:tc>
          <w:tcPr>
            <w:tcW w:w="612" w:type="pct"/>
            <w:shd w:val="clear" w:color="auto" w:fill="auto"/>
            <w:noWrap/>
            <w:vAlign w:val="center"/>
          </w:tcPr>
          <w:p w14:paraId="6082B06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吊销登记证书。没收违法经营额或违法所得，可以并处违法经营额2倍以上3倍以下罚款或者违法所得4倍以上5倍以下罚款。</w:t>
            </w:r>
          </w:p>
        </w:tc>
      </w:tr>
      <w:tr w14:paraId="55CE2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289" w:hRule="exact"/>
          <w:jc w:val="center"/>
        </w:trPr>
        <w:tc>
          <w:tcPr>
            <w:tcW w:w="197" w:type="pct"/>
            <w:vMerge w:val="restart"/>
            <w:noWrap/>
            <w:vAlign w:val="center"/>
          </w:tcPr>
          <w:p w14:paraId="73A08D2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w:t>
            </w:r>
          </w:p>
        </w:tc>
        <w:tc>
          <w:tcPr>
            <w:tcW w:w="1054" w:type="pct"/>
            <w:gridSpan w:val="2"/>
            <w:vMerge w:val="restart"/>
            <w:noWrap/>
            <w:vAlign w:val="center"/>
          </w:tcPr>
          <w:p w14:paraId="4F8B3D7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社会团体超出章程规定的宗旨和业务范围进行活动。</w:t>
            </w:r>
          </w:p>
        </w:tc>
        <w:tc>
          <w:tcPr>
            <w:tcW w:w="940" w:type="pct"/>
            <w:vMerge w:val="restart"/>
            <w:noWrap/>
            <w:vAlign w:val="center"/>
          </w:tcPr>
          <w:p w14:paraId="538501F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667A177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191ACA7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（二）超出章程规定的宗旨和业务范围进行活动的；</w:t>
            </w:r>
          </w:p>
          <w:p w14:paraId="3D4829F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4713846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929" w:type="pct"/>
            <w:vMerge w:val="restart"/>
            <w:noWrap/>
            <w:vAlign w:val="center"/>
          </w:tcPr>
          <w:p w14:paraId="7AA387E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75D37FC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ACF092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（二）超出章程规定的宗旨和业务范围进行活动的；</w:t>
            </w:r>
          </w:p>
          <w:p w14:paraId="333728A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3EA21E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3D184AF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38ED6BE4">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458D50D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1.超出章程规定的宗旨和业务范围进行活动1次，或持续时间6个月以下；</w:t>
            </w:r>
          </w:p>
          <w:p w14:paraId="01B00A8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2.违法经营额或者违法所得10万元以下；</w:t>
            </w:r>
          </w:p>
          <w:p w14:paraId="5872B27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3.社会不良影响较小，或者具有其他情节较轻情形。</w:t>
            </w:r>
          </w:p>
        </w:tc>
        <w:tc>
          <w:tcPr>
            <w:tcW w:w="612" w:type="pct"/>
            <w:noWrap/>
            <w:vAlign w:val="center"/>
          </w:tcPr>
          <w:p w14:paraId="0529DD8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警告。没收违法经营额或者违法所得。</w:t>
            </w:r>
          </w:p>
        </w:tc>
      </w:tr>
      <w:tr w14:paraId="4ADC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75" w:hRule="exact"/>
          <w:jc w:val="center"/>
        </w:trPr>
        <w:tc>
          <w:tcPr>
            <w:tcW w:w="197" w:type="pct"/>
            <w:vMerge w:val="continue"/>
            <w:vAlign w:val="center"/>
          </w:tcPr>
          <w:p w14:paraId="164E6363">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615A045">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6DF51C89">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04E558B4">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6398108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13B48D07">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1039DAB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1.超出章程规定的宗旨和业务范围进行活动2次，或持续时间6个月以上1年以下；</w:t>
            </w:r>
          </w:p>
          <w:p w14:paraId="010E02A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2.违法经营额或者违法所得10万元以上50万元以下；</w:t>
            </w:r>
          </w:p>
          <w:p w14:paraId="468E946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3.造成较大社会不良影响，或者有其他情节较重情形。</w:t>
            </w:r>
          </w:p>
        </w:tc>
        <w:tc>
          <w:tcPr>
            <w:tcW w:w="612" w:type="pct"/>
            <w:noWrap/>
            <w:vAlign w:val="center"/>
          </w:tcPr>
          <w:p w14:paraId="0760249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责令限期停止活动（1至6个月）。没收违法经营额或者违法所得，可以并处违法经营额1倍以上2倍以下罚款或者违法所得3倍以上4倍以下罚款。</w:t>
            </w:r>
          </w:p>
        </w:tc>
      </w:tr>
      <w:tr w14:paraId="70BF0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365" w:hRule="exact"/>
          <w:jc w:val="center"/>
        </w:trPr>
        <w:tc>
          <w:tcPr>
            <w:tcW w:w="197" w:type="pct"/>
            <w:vMerge w:val="continue"/>
            <w:vAlign w:val="center"/>
          </w:tcPr>
          <w:p w14:paraId="2EEC98EE">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94E389D">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938A5F9">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13DB58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077A3E1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1B3821F3">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7E8D3CC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1.超出章程规定的宗旨和业务范围进行活动2次以上，或持续时间1年以上；</w:t>
            </w:r>
          </w:p>
          <w:p w14:paraId="07FCBA6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2.违法经营额或者违法所得50万元以上；</w:t>
            </w:r>
          </w:p>
          <w:p w14:paraId="5ED03F1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3.2年内曾因超出章程规定的宗旨和业务范围进行活动受到行政处罚，经责令改正后拒不改正；</w:t>
            </w:r>
          </w:p>
          <w:p w14:paraId="71E4CF9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4.造成严重社会不良影响，或者有其他情节严重情形。</w:t>
            </w:r>
          </w:p>
        </w:tc>
        <w:tc>
          <w:tcPr>
            <w:tcW w:w="612" w:type="pct"/>
            <w:noWrap/>
            <w:vAlign w:val="center"/>
          </w:tcPr>
          <w:p w14:paraId="3D93F49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吊销登记证书。没收违法经营额或违法所得，并处违法经营额2倍以上3倍以下罚款或违法所得4倍以上5倍以下罚款。</w:t>
            </w:r>
          </w:p>
        </w:tc>
      </w:tr>
      <w:tr w14:paraId="4213A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56" w:hRule="exact"/>
          <w:jc w:val="center"/>
        </w:trPr>
        <w:tc>
          <w:tcPr>
            <w:tcW w:w="197" w:type="pct"/>
            <w:vMerge w:val="restart"/>
            <w:noWrap/>
            <w:vAlign w:val="center"/>
          </w:tcPr>
          <w:p w14:paraId="7B5C040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w:t>
            </w:r>
          </w:p>
        </w:tc>
        <w:tc>
          <w:tcPr>
            <w:tcW w:w="1054" w:type="pct"/>
            <w:gridSpan w:val="2"/>
            <w:vMerge w:val="restart"/>
            <w:noWrap/>
            <w:vAlign w:val="center"/>
          </w:tcPr>
          <w:p w14:paraId="1D41D90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社会团体拒不接受或不按照规定接受监督检查。</w:t>
            </w:r>
          </w:p>
        </w:tc>
        <w:tc>
          <w:tcPr>
            <w:tcW w:w="940" w:type="pct"/>
            <w:vMerge w:val="restart"/>
            <w:noWrap/>
            <w:vAlign w:val="center"/>
          </w:tcPr>
          <w:p w14:paraId="32CBA64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二十八条：社会团体应当于每年3月31日前向业务主管单位报送上一年度的工作报告，经业务主管单位初审同意后，于5月31日前报送登记管理机关，接受年度检查。工作报告的内容包括：本社会团体遵守法律法规和国家政策的情况、依照本条例履行登记手续的情况、按照章程开展活动的情况、人员和机构变动的情况以及财务管理的情况。</w:t>
            </w:r>
          </w:p>
        </w:tc>
        <w:tc>
          <w:tcPr>
            <w:tcW w:w="929" w:type="pct"/>
            <w:vMerge w:val="restart"/>
            <w:noWrap/>
            <w:vAlign w:val="center"/>
          </w:tcPr>
          <w:p w14:paraId="62710B08">
            <w:pPr>
              <w:adjustRightInd w:val="0"/>
              <w:snapToGrid w:val="0"/>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r>
              <w:rPr>
                <w:rFonts w:hint="eastAsia" w:hAnsi="宋体" w:cs="宋体"/>
                <w:color w:val="000000" w:themeColor="text1"/>
                <w:kern w:val="0"/>
                <w:sz w:val="21"/>
                <w:szCs w:val="21"/>
                <w14:textFill>
                  <w14:solidFill>
                    <w14:schemeClr w14:val="tx1"/>
                  </w14:solidFill>
                </w14:textFill>
              </w:rPr>
              <w:br w:type="textWrapping"/>
            </w: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w:t>
            </w:r>
            <w:r>
              <w:rPr>
                <w:rFonts w:hint="eastAsia" w:hAnsi="宋体" w:cs="宋体"/>
                <w:color w:val="000000" w:themeColor="text1"/>
                <w:kern w:val="0"/>
                <w:sz w:val="21"/>
                <w:szCs w:val="21"/>
                <w14:textFill>
                  <w14:solidFill>
                    <w14:schemeClr w14:val="tx1"/>
                  </w14:solidFill>
                </w14:textFill>
              </w:rPr>
              <w:br w:type="textWrapping"/>
            </w:r>
            <w:r>
              <w:rPr>
                <w:rFonts w:hint="eastAsia" w:hAnsi="宋体" w:cs="宋体"/>
                <w:color w:val="000000" w:themeColor="text1"/>
                <w:kern w:val="0"/>
                <w:sz w:val="21"/>
                <w:szCs w:val="21"/>
                <w14:textFill>
                  <w14:solidFill>
                    <w14:schemeClr w14:val="tx1"/>
                  </w14:solidFill>
                </w14:textFill>
              </w:rPr>
              <w:t>（三）拒不接受或者不按照规定接受监督检查的</w:t>
            </w:r>
            <w:r>
              <w:rPr>
                <w:rFonts w:hint="eastAsia" w:hAnsi="宋体" w:cs="宋体"/>
                <w:color w:val="000000" w:themeColor="text1"/>
                <w:spacing w:val="-6"/>
                <w:kern w:val="0"/>
                <w:sz w:val="21"/>
                <w:szCs w:val="21"/>
                <w14:textFill>
                  <w14:solidFill>
                    <w14:schemeClr w14:val="tx1"/>
                  </w14:solidFill>
                </w14:textFill>
              </w:rPr>
              <w:t>；</w:t>
            </w:r>
          </w:p>
          <w:p w14:paraId="7143E9A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w:t>
            </w:r>
            <w:r>
              <w:rPr>
                <w:rFonts w:hint="eastAsia" w:hAnsi="宋体" w:cs="宋体"/>
                <w:color w:val="000000" w:themeColor="text1"/>
                <w:kern w:val="0"/>
                <w:sz w:val="21"/>
                <w:szCs w:val="21"/>
                <w14:textFill>
                  <w14:solidFill>
                    <w14:schemeClr w14:val="tx1"/>
                  </w14:solidFill>
                </w14:textFill>
              </w:rPr>
              <w:br w:type="page"/>
            </w:r>
          </w:p>
        </w:tc>
        <w:tc>
          <w:tcPr>
            <w:tcW w:w="237" w:type="pct"/>
            <w:noWrap/>
            <w:vAlign w:val="center"/>
          </w:tcPr>
          <w:p w14:paraId="109AEAE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2809DD9F">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4AF8152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1.1年不按照规定报送年度检查材料，或在年度检查材料中隐瞒真实情况、弄虚作假；</w:t>
            </w:r>
          </w:p>
          <w:p w14:paraId="7537268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2.1次不按照规定接受检查、审计等监督检查，社会不良影响较小；</w:t>
            </w:r>
          </w:p>
          <w:p w14:paraId="59B4E9E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3.具有其他情节较轻情形。</w:t>
            </w:r>
          </w:p>
        </w:tc>
        <w:tc>
          <w:tcPr>
            <w:tcW w:w="612" w:type="pct"/>
            <w:noWrap/>
            <w:vAlign w:val="center"/>
          </w:tcPr>
          <w:p w14:paraId="6553C3D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12F49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215" w:hRule="exact"/>
          <w:jc w:val="center"/>
        </w:trPr>
        <w:tc>
          <w:tcPr>
            <w:tcW w:w="197" w:type="pct"/>
            <w:vMerge w:val="continue"/>
            <w:vAlign w:val="center"/>
          </w:tcPr>
          <w:p w14:paraId="12D4CE32">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DB078D6">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560E2558">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D633ECF">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3A9C804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2AA295A9">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75E5906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1.不按照规定接受监督检查，经责令改正不按照规定改正；</w:t>
            </w:r>
          </w:p>
          <w:p w14:paraId="0A142A5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2.拒绝、阻挠、妨碍监督检查；</w:t>
            </w:r>
          </w:p>
          <w:p w14:paraId="28127CF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3.造成较大不良社会影响，或者具有其他情节较重情形。</w:t>
            </w:r>
          </w:p>
        </w:tc>
        <w:tc>
          <w:tcPr>
            <w:tcW w:w="612" w:type="pct"/>
            <w:noWrap/>
            <w:vAlign w:val="center"/>
          </w:tcPr>
          <w:p w14:paraId="54CA1CA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w:t>
            </w:r>
          </w:p>
        </w:tc>
      </w:tr>
      <w:tr w14:paraId="7DBB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570" w:hRule="exact"/>
          <w:jc w:val="center"/>
        </w:trPr>
        <w:tc>
          <w:tcPr>
            <w:tcW w:w="197" w:type="pct"/>
            <w:vMerge w:val="continue"/>
            <w:vAlign w:val="center"/>
          </w:tcPr>
          <w:p w14:paraId="27977583">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B84C65B">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18F9D3AE">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2C1109F">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D43D45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1DB5F038">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63F1A1E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1.连续2年及以上不按照规定报送年度检查材料，或在年度检查材料中隐瞒真实情况、弄虚作假；</w:t>
            </w:r>
          </w:p>
          <w:p w14:paraId="460AB28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2.拒绝、阻挠、妨碍监督检查，造成严重不良社会影响；</w:t>
            </w:r>
          </w:p>
          <w:p w14:paraId="2B16B5F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3.2年内曾因拒不接受或不按照规定接受监督检查受到过行政处罚，经责令改正后拒不改正；</w:t>
            </w:r>
          </w:p>
          <w:p w14:paraId="1A7E580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4.有其他情节严重情形。</w:t>
            </w:r>
          </w:p>
        </w:tc>
        <w:tc>
          <w:tcPr>
            <w:tcW w:w="612" w:type="pct"/>
            <w:noWrap/>
            <w:vAlign w:val="center"/>
          </w:tcPr>
          <w:p w14:paraId="310CF53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w:t>
            </w:r>
          </w:p>
        </w:tc>
      </w:tr>
      <w:tr w14:paraId="0043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992" w:hRule="exact"/>
          <w:jc w:val="center"/>
        </w:trPr>
        <w:tc>
          <w:tcPr>
            <w:tcW w:w="197" w:type="pct"/>
            <w:vMerge w:val="restart"/>
            <w:vAlign w:val="center"/>
          </w:tcPr>
          <w:p w14:paraId="0605283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w:t>
            </w:r>
          </w:p>
        </w:tc>
        <w:tc>
          <w:tcPr>
            <w:tcW w:w="1054" w:type="pct"/>
            <w:gridSpan w:val="2"/>
            <w:vMerge w:val="restart"/>
            <w:vAlign w:val="center"/>
          </w:tcPr>
          <w:p w14:paraId="52E818E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社会团体内部管理不力导致运转失灵。</w:t>
            </w:r>
          </w:p>
        </w:tc>
        <w:tc>
          <w:tcPr>
            <w:tcW w:w="940" w:type="pct"/>
            <w:vMerge w:val="restart"/>
            <w:vAlign w:val="center"/>
          </w:tcPr>
          <w:p w14:paraId="127A25B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099E7F4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645E362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（四）内部管理不力导致运转失灵的；</w:t>
            </w:r>
          </w:p>
          <w:p w14:paraId="7D129B7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51AD0FD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929" w:type="pct"/>
            <w:vMerge w:val="restart"/>
            <w:vAlign w:val="center"/>
          </w:tcPr>
          <w:p w14:paraId="041FB71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5080B8B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27847F0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（四）内部管理不力导致运转失灵的；</w:t>
            </w:r>
          </w:p>
          <w:p w14:paraId="6BB06B5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0E56D14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4D08785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shd w:val="clear" w:color="auto" w:fill="auto"/>
            <w:noWrap/>
            <w:vAlign w:val="center"/>
          </w:tcPr>
          <w:p w14:paraId="7D59ED28">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4724C41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1.因理事会或社会团体负责人未按照章程规定履行职责，无法按照章程规定召开会员（代表）大会、理事会，或未形成有效决议，导致一年以上18个月以下不开展业务活动等运转失灵的情形；</w:t>
            </w:r>
          </w:p>
          <w:p w14:paraId="5C4EE461">
            <w:pPr>
              <w:adjustRightInd w:val="0"/>
              <w:snapToGrid w:val="0"/>
              <w:rPr>
                <w:rFonts w:hAnsi="宋体" w:cs="宋体"/>
                <w:color w:val="000000" w:themeColor="text1"/>
                <w:kern w:val="0"/>
                <w:sz w:val="21"/>
                <w:szCs w:val="21"/>
                <w:highlight w:val="yellow"/>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2.社会团体内部管理不力导致运转失灵，情节较轻。</w:t>
            </w:r>
          </w:p>
        </w:tc>
        <w:tc>
          <w:tcPr>
            <w:tcW w:w="612" w:type="pct"/>
            <w:shd w:val="clear" w:color="auto" w:fill="auto"/>
            <w:noWrap/>
            <w:vAlign w:val="center"/>
          </w:tcPr>
          <w:p w14:paraId="58C8AA0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571E3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126" w:hRule="exact"/>
          <w:jc w:val="center"/>
        </w:trPr>
        <w:tc>
          <w:tcPr>
            <w:tcW w:w="197" w:type="pct"/>
            <w:vMerge w:val="continue"/>
            <w:vAlign w:val="center"/>
          </w:tcPr>
          <w:p w14:paraId="1A7012B8">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3D37D95E">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16986068">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31D88E28">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10DBAC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shd w:val="clear" w:color="auto" w:fill="auto"/>
            <w:noWrap/>
            <w:vAlign w:val="center"/>
          </w:tcPr>
          <w:p w14:paraId="3BB029C5">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17F35FF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1.因理事会或社会团体负责人未按照章程规定履行职责，无法按照章程规定召开会员（代表）大会、理事会，或未形成有效决议，导致18个月以上两年以下不开展业务活动等运转失灵的情形；</w:t>
            </w:r>
          </w:p>
          <w:p w14:paraId="1AE6767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2.2年内曾因内部管理不力导致运转失灵受到过警告的行政处罚；</w:t>
            </w:r>
          </w:p>
          <w:p w14:paraId="7C996E2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3.社会团体内部管理不力导致运转失灵情节较重，造成较大社会负面影响或较重危害后果。</w:t>
            </w:r>
          </w:p>
        </w:tc>
        <w:tc>
          <w:tcPr>
            <w:tcW w:w="612" w:type="pct"/>
            <w:shd w:val="clear" w:color="auto" w:fill="auto"/>
            <w:noWrap/>
            <w:vAlign w:val="center"/>
          </w:tcPr>
          <w:p w14:paraId="222F69E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w:t>
            </w:r>
          </w:p>
        </w:tc>
      </w:tr>
      <w:tr w14:paraId="08706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096" w:hRule="atLeast"/>
          <w:jc w:val="center"/>
        </w:trPr>
        <w:tc>
          <w:tcPr>
            <w:tcW w:w="558" w:type="dxa"/>
            <w:shd w:val="clear" w:color="auto" w:fill="auto"/>
            <w:noWrap/>
            <w:vAlign w:val="center"/>
          </w:tcPr>
          <w:p w14:paraId="1AED326E">
            <w:pPr>
              <w:adjustRightInd w:val="0"/>
              <w:snapToGrid w:val="0"/>
              <w:jc w:val="center"/>
              <w:rPr>
                <w:rFonts w:hAnsi="宋体" w:cs="宋体"/>
                <w:kern w:val="0"/>
                <w:sz w:val="21"/>
                <w:szCs w:val="21"/>
              </w:rPr>
            </w:pPr>
            <w:r>
              <w:rPr>
                <w:rFonts w:hint="eastAsia" w:hAnsi="宋体" w:cs="宋体"/>
                <w:kern w:val="0"/>
                <w:sz w:val="21"/>
                <w:szCs w:val="21"/>
              </w:rPr>
              <w:t>4</w:t>
            </w:r>
          </w:p>
        </w:tc>
        <w:tc>
          <w:tcPr>
            <w:tcW w:w="2981" w:type="dxa"/>
            <w:gridSpan w:val="2"/>
            <w:shd w:val="clear" w:color="auto" w:fill="auto"/>
            <w:noWrap/>
            <w:vAlign w:val="center"/>
          </w:tcPr>
          <w:p w14:paraId="329D58BE">
            <w:pPr>
              <w:adjustRightInd w:val="0"/>
              <w:snapToGrid w:val="0"/>
              <w:rPr>
                <w:rFonts w:hAnsi="宋体" w:cs="宋体"/>
                <w:kern w:val="0"/>
                <w:sz w:val="21"/>
                <w:szCs w:val="21"/>
              </w:rPr>
            </w:pPr>
            <w:r>
              <w:rPr>
                <w:rFonts w:hint="eastAsia" w:hAnsi="宋体" w:cs="宋体"/>
                <w:kern w:val="0"/>
                <w:sz w:val="21"/>
                <w:szCs w:val="21"/>
              </w:rPr>
              <w:t>社会团体内部管理不力导致运转失灵。</w:t>
            </w:r>
          </w:p>
        </w:tc>
        <w:tc>
          <w:tcPr>
            <w:tcW w:w="2661" w:type="dxa"/>
            <w:shd w:val="clear" w:color="auto" w:fill="auto"/>
            <w:noWrap/>
            <w:vAlign w:val="center"/>
          </w:tcPr>
          <w:p w14:paraId="7D4E851B">
            <w:pPr>
              <w:adjustRightInd w:val="0"/>
              <w:snapToGrid w:val="0"/>
              <w:rPr>
                <w:rFonts w:hAnsi="宋体" w:cs="宋体"/>
                <w:kern w:val="0"/>
                <w:sz w:val="21"/>
                <w:szCs w:val="21"/>
              </w:rPr>
            </w:pPr>
            <w:r>
              <w:rPr>
                <w:rFonts w:hint="eastAsia" w:hAnsi="宋体" w:cs="宋体"/>
                <w:kern w:val="0"/>
                <w:sz w:val="21"/>
                <w:szCs w:val="21"/>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14692270">
            <w:pPr>
              <w:adjustRightInd w:val="0"/>
              <w:snapToGrid w:val="0"/>
              <w:rPr>
                <w:rFonts w:hAnsi="宋体" w:cs="宋体"/>
                <w:kern w:val="0"/>
                <w:sz w:val="21"/>
                <w:szCs w:val="21"/>
              </w:rPr>
            </w:pPr>
            <w:r>
              <w:rPr>
                <w:rFonts w:hint="eastAsia" w:hAnsi="宋体" w:cs="宋体"/>
                <w:kern w:val="0"/>
                <w:sz w:val="21"/>
                <w:szCs w:val="21"/>
              </w:rPr>
              <w:t>……</w:t>
            </w:r>
          </w:p>
          <w:p w14:paraId="0B415C85">
            <w:pPr>
              <w:adjustRightInd w:val="0"/>
              <w:snapToGrid w:val="0"/>
              <w:rPr>
                <w:rFonts w:hAnsi="宋体" w:cs="宋体"/>
                <w:kern w:val="0"/>
                <w:sz w:val="21"/>
                <w:szCs w:val="21"/>
              </w:rPr>
            </w:pPr>
            <w:r>
              <w:rPr>
                <w:rFonts w:hint="eastAsia" w:hAnsi="宋体" w:cs="宋体"/>
                <w:kern w:val="0"/>
                <w:sz w:val="21"/>
                <w:szCs w:val="21"/>
              </w:rPr>
              <w:t>（四）内部管理不力导致运转失灵的；</w:t>
            </w:r>
          </w:p>
          <w:p w14:paraId="675A029E">
            <w:pPr>
              <w:adjustRightInd w:val="0"/>
              <w:snapToGrid w:val="0"/>
              <w:rPr>
                <w:rFonts w:hAnsi="宋体" w:cs="宋体"/>
                <w:kern w:val="0"/>
                <w:sz w:val="21"/>
                <w:szCs w:val="21"/>
              </w:rPr>
            </w:pPr>
            <w:r>
              <w:rPr>
                <w:rFonts w:hint="eastAsia" w:hAnsi="宋体" w:cs="宋体"/>
                <w:kern w:val="0"/>
                <w:sz w:val="21"/>
                <w:szCs w:val="21"/>
              </w:rPr>
              <w:t>……</w:t>
            </w:r>
          </w:p>
          <w:p w14:paraId="25B2B8D3">
            <w:pPr>
              <w:adjustRightInd w:val="0"/>
              <w:snapToGrid w:val="0"/>
              <w:rPr>
                <w:rFonts w:hAnsi="宋体" w:cs="宋体"/>
                <w:kern w:val="0"/>
                <w:sz w:val="21"/>
                <w:szCs w:val="21"/>
              </w:rPr>
            </w:pPr>
            <w:r>
              <w:rPr>
                <w:rFonts w:hint="eastAsia" w:hAnsi="宋体" w:cs="宋体"/>
                <w:kern w:val="0"/>
                <w:sz w:val="21"/>
                <w:szCs w:val="21"/>
              </w:rPr>
              <w:t>前款规定的行为有违法经营额或者违法所得的，予以没收，可以并处违法经营额1倍以上3倍以下或者违法所得3倍以上5倍以下的罚款。</w:t>
            </w:r>
          </w:p>
        </w:tc>
        <w:tc>
          <w:tcPr>
            <w:tcW w:w="2629" w:type="dxa"/>
            <w:shd w:val="clear" w:color="auto" w:fill="auto"/>
            <w:noWrap/>
            <w:vAlign w:val="center"/>
          </w:tcPr>
          <w:p w14:paraId="2008CF57">
            <w:pPr>
              <w:adjustRightInd w:val="0"/>
              <w:snapToGrid w:val="0"/>
              <w:rPr>
                <w:rFonts w:hAnsi="宋体" w:cs="宋体"/>
                <w:kern w:val="0"/>
                <w:sz w:val="21"/>
                <w:szCs w:val="21"/>
              </w:rPr>
            </w:pPr>
            <w:r>
              <w:rPr>
                <w:rFonts w:hint="eastAsia" w:hAnsi="宋体" w:cs="宋体"/>
                <w:kern w:val="0"/>
                <w:sz w:val="21"/>
                <w:szCs w:val="21"/>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34B98BFE">
            <w:pPr>
              <w:adjustRightInd w:val="0"/>
              <w:snapToGrid w:val="0"/>
              <w:rPr>
                <w:rFonts w:hAnsi="宋体" w:cs="宋体"/>
                <w:kern w:val="0"/>
                <w:sz w:val="21"/>
                <w:szCs w:val="21"/>
              </w:rPr>
            </w:pPr>
            <w:r>
              <w:rPr>
                <w:rFonts w:hint="eastAsia" w:hAnsi="宋体" w:cs="宋体"/>
                <w:kern w:val="0"/>
                <w:sz w:val="21"/>
                <w:szCs w:val="21"/>
              </w:rPr>
              <w:t>……</w:t>
            </w:r>
          </w:p>
          <w:p w14:paraId="3EA749A9">
            <w:pPr>
              <w:adjustRightInd w:val="0"/>
              <w:snapToGrid w:val="0"/>
              <w:rPr>
                <w:rFonts w:hAnsi="宋体" w:cs="宋体"/>
                <w:kern w:val="0"/>
                <w:sz w:val="21"/>
                <w:szCs w:val="21"/>
              </w:rPr>
            </w:pPr>
            <w:r>
              <w:rPr>
                <w:rFonts w:hint="eastAsia" w:hAnsi="宋体" w:cs="宋体"/>
                <w:kern w:val="0"/>
                <w:sz w:val="21"/>
                <w:szCs w:val="21"/>
              </w:rPr>
              <w:t>（四）内部管理不力导致运转失灵的；</w:t>
            </w:r>
          </w:p>
          <w:p w14:paraId="45B7E933">
            <w:pPr>
              <w:adjustRightInd w:val="0"/>
              <w:snapToGrid w:val="0"/>
              <w:rPr>
                <w:rFonts w:hAnsi="宋体" w:cs="宋体"/>
                <w:kern w:val="0"/>
                <w:sz w:val="21"/>
                <w:szCs w:val="21"/>
              </w:rPr>
            </w:pPr>
            <w:r>
              <w:rPr>
                <w:rFonts w:hint="eastAsia" w:hAnsi="宋体" w:cs="宋体"/>
                <w:kern w:val="0"/>
                <w:sz w:val="21"/>
                <w:szCs w:val="21"/>
              </w:rPr>
              <w:t>……</w:t>
            </w:r>
          </w:p>
          <w:p w14:paraId="18789A2B">
            <w:pPr>
              <w:adjustRightInd w:val="0"/>
              <w:snapToGrid w:val="0"/>
              <w:rPr>
                <w:rFonts w:hAnsi="宋体" w:cs="宋体"/>
                <w:kern w:val="0"/>
                <w:sz w:val="21"/>
                <w:szCs w:val="21"/>
              </w:rPr>
            </w:pPr>
            <w:r>
              <w:rPr>
                <w:rFonts w:hint="eastAsia" w:hAnsi="宋体" w:cs="宋体"/>
                <w:kern w:val="0"/>
                <w:sz w:val="21"/>
                <w:szCs w:val="21"/>
              </w:rPr>
              <w:t>前款规定的行为有违法经营额或者违法所得的，予以没收，可以并处违法经营额1倍以上3倍以下或者违法所得3倍以上5倍以下的罚款。</w:t>
            </w:r>
          </w:p>
        </w:tc>
        <w:tc>
          <w:tcPr>
            <w:tcW w:w="671" w:type="dxa"/>
            <w:shd w:val="clear" w:color="auto" w:fill="auto"/>
            <w:noWrap/>
            <w:vAlign w:val="center"/>
          </w:tcPr>
          <w:p w14:paraId="60E9AE21">
            <w:pPr>
              <w:adjustRightInd w:val="0"/>
              <w:snapToGrid w:val="0"/>
              <w:jc w:val="center"/>
              <w:rPr>
                <w:rFonts w:hAnsi="宋体" w:cs="宋体"/>
                <w:kern w:val="0"/>
                <w:sz w:val="21"/>
                <w:szCs w:val="21"/>
              </w:rPr>
            </w:pPr>
            <w:r>
              <w:rPr>
                <w:rFonts w:hint="eastAsia" w:hAnsi="宋体" w:cs="宋体"/>
                <w:kern w:val="0"/>
                <w:sz w:val="21"/>
                <w:szCs w:val="21"/>
              </w:rPr>
              <w:t>从重处罚</w:t>
            </w:r>
          </w:p>
        </w:tc>
        <w:tc>
          <w:tcPr>
            <w:tcW w:w="2908" w:type="dxa"/>
            <w:shd w:val="clear" w:color="auto" w:fill="auto"/>
            <w:noWrap/>
            <w:vAlign w:val="center"/>
          </w:tcPr>
          <w:p w14:paraId="159EF371">
            <w:pPr>
              <w:adjustRightInd w:val="0"/>
              <w:snapToGrid w:val="0"/>
              <w:rPr>
                <w:rFonts w:hAnsi="宋体" w:cs="宋体"/>
                <w:kern w:val="0"/>
                <w:sz w:val="21"/>
                <w:szCs w:val="21"/>
              </w:rPr>
            </w:pPr>
            <w:r>
              <w:rPr>
                <w:rFonts w:hAnsi="宋体" w:cs="宋体"/>
                <w:kern w:val="0"/>
                <w:sz w:val="21"/>
                <w:szCs w:val="21"/>
              </w:rPr>
              <w:t>具有以下情形之一</w:t>
            </w:r>
            <w:r>
              <w:rPr>
                <w:rFonts w:hint="eastAsia" w:hAnsi="宋体" w:cs="宋体"/>
                <w:kern w:val="0"/>
                <w:sz w:val="21"/>
                <w:szCs w:val="21"/>
              </w:rPr>
              <w:t>：</w:t>
            </w:r>
          </w:p>
          <w:p w14:paraId="5D64F412">
            <w:pPr>
              <w:adjustRightInd w:val="0"/>
              <w:snapToGrid w:val="0"/>
              <w:rPr>
                <w:rFonts w:hAnsi="宋体" w:cs="宋体"/>
                <w:kern w:val="0"/>
                <w:sz w:val="21"/>
                <w:szCs w:val="21"/>
              </w:rPr>
            </w:pPr>
            <w:r>
              <w:rPr>
                <w:rFonts w:hint="eastAsia" w:hAnsi="宋体" w:cs="宋体"/>
                <w:kern w:val="0"/>
                <w:sz w:val="21"/>
                <w:szCs w:val="21"/>
              </w:rPr>
              <w:t>1.因理事会或社会团体负责人未按照章程规定履行职责，无法按照章程规定召开会员（代表）大会、理事会，或未形成有效决议，导致两年以上不开展业务活动等运转失灵的情形；</w:t>
            </w:r>
          </w:p>
          <w:p w14:paraId="07605894">
            <w:pPr>
              <w:adjustRightInd w:val="0"/>
              <w:snapToGrid w:val="0"/>
              <w:rPr>
                <w:rFonts w:hAnsi="宋体" w:cs="宋体"/>
                <w:kern w:val="0"/>
                <w:sz w:val="21"/>
                <w:szCs w:val="21"/>
              </w:rPr>
            </w:pPr>
            <w:r>
              <w:rPr>
                <w:rFonts w:hint="eastAsia" w:hAnsi="宋体" w:cs="宋体"/>
                <w:kern w:val="0"/>
                <w:sz w:val="21"/>
                <w:szCs w:val="21"/>
              </w:rPr>
              <w:t>2.2年内曾因内部管理不力导致运转失灵受到过限期停止活动的行政处罚；</w:t>
            </w:r>
          </w:p>
          <w:p w14:paraId="2301485D">
            <w:pPr>
              <w:adjustRightInd w:val="0"/>
              <w:snapToGrid w:val="0"/>
              <w:rPr>
                <w:rFonts w:ascii="仿宋" w:hAnsi="仿宋" w:eastAsia="仿宋" w:cs="仿宋"/>
                <w:kern w:val="0"/>
                <w:sz w:val="20"/>
              </w:rPr>
            </w:pPr>
            <w:r>
              <w:rPr>
                <w:rFonts w:hint="eastAsia" w:hAnsi="宋体" w:cs="宋体"/>
                <w:kern w:val="0"/>
                <w:sz w:val="21"/>
                <w:szCs w:val="21"/>
              </w:rPr>
              <w:t>3.社会团体内部管理不力导致运转失灵情节严重，造成严重社会负面影响或严重危害后果。</w:t>
            </w:r>
          </w:p>
        </w:tc>
        <w:tc>
          <w:tcPr>
            <w:tcW w:w="1734" w:type="dxa"/>
            <w:shd w:val="clear" w:color="auto" w:fill="auto"/>
            <w:noWrap/>
            <w:vAlign w:val="center"/>
          </w:tcPr>
          <w:p w14:paraId="03D31266">
            <w:pPr>
              <w:adjustRightInd w:val="0"/>
              <w:snapToGrid w:val="0"/>
              <w:rPr>
                <w:rFonts w:hAnsi="宋体" w:cs="宋体"/>
                <w:kern w:val="0"/>
                <w:sz w:val="21"/>
                <w:szCs w:val="21"/>
              </w:rPr>
            </w:pPr>
            <w:r>
              <w:rPr>
                <w:rFonts w:hint="eastAsia" w:hAnsi="宋体" w:cs="宋体"/>
                <w:kern w:val="0"/>
                <w:sz w:val="21"/>
                <w:szCs w:val="21"/>
              </w:rPr>
              <w:t>吊销登记证书。</w:t>
            </w:r>
          </w:p>
        </w:tc>
      </w:tr>
      <w:tr w14:paraId="2CAD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13" w:hRule="atLeast"/>
          <w:jc w:val="center"/>
        </w:trPr>
        <w:tc>
          <w:tcPr>
            <w:tcW w:w="197" w:type="pct"/>
            <w:vMerge w:val="restart"/>
            <w:noWrap/>
            <w:vAlign w:val="center"/>
          </w:tcPr>
          <w:p w14:paraId="4EC9E29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5</w:t>
            </w:r>
          </w:p>
        </w:tc>
        <w:tc>
          <w:tcPr>
            <w:tcW w:w="1054" w:type="pct"/>
            <w:gridSpan w:val="2"/>
            <w:vMerge w:val="restart"/>
            <w:noWrap/>
            <w:vAlign w:val="center"/>
          </w:tcPr>
          <w:p w14:paraId="2144B95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社会团体不按照规定办理变更登记。</w:t>
            </w:r>
          </w:p>
          <w:p w14:paraId="2579A0C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具体主要有：</w:t>
            </w:r>
          </w:p>
          <w:p w14:paraId="44BEC28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不按照规定办理下列事项的变更：社会团体名称、住所、宗旨、业务范围、法定代表人、活动资金、业务主管单位等。</w:t>
            </w:r>
          </w:p>
        </w:tc>
        <w:tc>
          <w:tcPr>
            <w:tcW w:w="940" w:type="pct"/>
            <w:vMerge w:val="restart"/>
            <w:noWrap/>
            <w:vAlign w:val="center"/>
          </w:tcPr>
          <w:p w14:paraId="3D0A14D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《社会团体登记管理条例》第十八条：社会团体的登记事项需要变更的，应当自业务主管单位审查同意之日起30日内，向登记管理机关申请变更登记。</w:t>
            </w:r>
          </w:p>
        </w:tc>
        <w:tc>
          <w:tcPr>
            <w:tcW w:w="929" w:type="pct"/>
            <w:vMerge w:val="restart"/>
            <w:noWrap/>
            <w:vAlign w:val="center"/>
          </w:tcPr>
          <w:p w14:paraId="66250B4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281CDC7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028CB2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（四）不按照规定办理变更登记、注销登记的；</w:t>
            </w:r>
          </w:p>
          <w:p w14:paraId="2238CA6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1EDAA5E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496527E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30654771">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3B3F285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1.不按照规定变更登记，造成一定社会不良影响；</w:t>
            </w:r>
          </w:p>
          <w:p w14:paraId="7F70D63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2.具有其他情节较轻情形。</w:t>
            </w:r>
          </w:p>
        </w:tc>
        <w:tc>
          <w:tcPr>
            <w:tcW w:w="612" w:type="pct"/>
            <w:noWrap/>
            <w:vAlign w:val="center"/>
          </w:tcPr>
          <w:p w14:paraId="325EA67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7950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13" w:hRule="atLeast"/>
          <w:jc w:val="center"/>
        </w:trPr>
        <w:tc>
          <w:tcPr>
            <w:tcW w:w="197" w:type="pct"/>
            <w:vMerge w:val="continue"/>
            <w:vAlign w:val="center"/>
          </w:tcPr>
          <w:p w14:paraId="723604CE">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D627BA7">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3370CE02">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F405BE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3612D98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01C55A36">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1C4E0A7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1.不按照规定变更登记，造成较大不良社会影响；</w:t>
            </w:r>
          </w:p>
          <w:p w14:paraId="012A2C2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2.经责令限期改正，3个月内未改正；</w:t>
            </w:r>
          </w:p>
          <w:p w14:paraId="04F87AA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3.有其他情节较重情形。</w:t>
            </w:r>
          </w:p>
        </w:tc>
        <w:tc>
          <w:tcPr>
            <w:tcW w:w="612" w:type="pct"/>
            <w:noWrap/>
            <w:vAlign w:val="center"/>
          </w:tcPr>
          <w:p w14:paraId="563C963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w:t>
            </w:r>
          </w:p>
        </w:tc>
      </w:tr>
      <w:tr w14:paraId="24C03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13" w:hRule="atLeast"/>
          <w:jc w:val="center"/>
        </w:trPr>
        <w:tc>
          <w:tcPr>
            <w:tcW w:w="197" w:type="pct"/>
            <w:vMerge w:val="continue"/>
            <w:vAlign w:val="center"/>
          </w:tcPr>
          <w:p w14:paraId="54F68EDA">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2A2346C2">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32F72AF0">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7DE211F">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68BEF8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50C55CAF">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095C918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1.不按照规定变更登记，造成严重不良社会影响；</w:t>
            </w:r>
          </w:p>
          <w:p w14:paraId="058A21F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2.经责令限期改正，6个月内未改正；</w:t>
            </w:r>
          </w:p>
          <w:p w14:paraId="3F02EA1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3.有其他情节严重情形。</w:t>
            </w:r>
          </w:p>
        </w:tc>
        <w:tc>
          <w:tcPr>
            <w:tcW w:w="612" w:type="pct"/>
            <w:noWrap/>
            <w:vAlign w:val="center"/>
          </w:tcPr>
          <w:p w14:paraId="4A47B4E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w:t>
            </w:r>
          </w:p>
        </w:tc>
      </w:tr>
      <w:tr w14:paraId="5F56C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247" w:hRule="exact"/>
          <w:jc w:val="center"/>
        </w:trPr>
        <w:tc>
          <w:tcPr>
            <w:tcW w:w="197" w:type="pct"/>
            <w:vMerge w:val="restart"/>
            <w:vAlign w:val="center"/>
          </w:tcPr>
          <w:p w14:paraId="631C389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6</w:t>
            </w:r>
          </w:p>
        </w:tc>
        <w:tc>
          <w:tcPr>
            <w:tcW w:w="1054" w:type="pct"/>
            <w:gridSpan w:val="2"/>
            <w:vMerge w:val="restart"/>
            <w:vAlign w:val="center"/>
          </w:tcPr>
          <w:p w14:paraId="5568730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社会团体不按照规定办理注销登记。</w:t>
            </w:r>
          </w:p>
        </w:tc>
        <w:tc>
          <w:tcPr>
            <w:tcW w:w="940" w:type="pct"/>
            <w:vMerge w:val="restart"/>
            <w:vAlign w:val="center"/>
          </w:tcPr>
          <w:p w14:paraId="0E68710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二十一条：社会团体应当自清算结束之日起15日内向登记管理机关办理注销登记。办理注销登记，应当提交法定代表人签署的注销登记申请书、业务主管单位的审查文件和清算报告书。</w:t>
            </w:r>
          </w:p>
        </w:tc>
        <w:tc>
          <w:tcPr>
            <w:tcW w:w="929" w:type="pct"/>
            <w:vMerge w:val="restart"/>
            <w:vAlign w:val="center"/>
          </w:tcPr>
          <w:p w14:paraId="13D1C32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2561862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6475AC4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（四）不按照规定办理变更登记、注销登记的；</w:t>
            </w:r>
          </w:p>
          <w:p w14:paraId="4D14A1E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0E8DBB2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1A9C3B4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shd w:val="clear" w:color="auto" w:fill="auto"/>
            <w:noWrap/>
            <w:vAlign w:val="center"/>
          </w:tcPr>
          <w:p w14:paraId="1983F3F8">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3620E055">
            <w:pPr>
              <w:widowControl/>
              <w:adjustRightInd w:val="0"/>
              <w:snapToGrid w:val="0"/>
              <w:jc w:val="lef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1.自清算结束之日起，未在15日内向登记管理机关办理注销登记；</w:t>
            </w:r>
          </w:p>
          <w:p w14:paraId="0E844DCC">
            <w:pPr>
              <w:widowControl/>
              <w:adjustRightInd w:val="0"/>
              <w:snapToGrid w:val="0"/>
              <w:jc w:val="lef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2.社会不良影响较小，或者具有其他情节较轻情形。</w:t>
            </w:r>
          </w:p>
        </w:tc>
        <w:tc>
          <w:tcPr>
            <w:tcW w:w="612" w:type="pct"/>
            <w:shd w:val="clear" w:color="auto" w:fill="auto"/>
            <w:noWrap/>
            <w:vAlign w:val="center"/>
          </w:tcPr>
          <w:p w14:paraId="7000698E">
            <w:pPr>
              <w:widowControl/>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警告，没收违法经营额或者违法所得。</w:t>
            </w:r>
          </w:p>
        </w:tc>
      </w:tr>
      <w:tr w14:paraId="5857C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965" w:hRule="exact"/>
          <w:jc w:val="center"/>
        </w:trPr>
        <w:tc>
          <w:tcPr>
            <w:tcW w:w="197" w:type="pct"/>
            <w:vMerge w:val="continue"/>
            <w:vAlign w:val="center"/>
          </w:tcPr>
          <w:p w14:paraId="24F3D7A8">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3DEA1CC">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6D8503B4">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1734B86D">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599879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shd w:val="clear" w:color="auto" w:fill="auto"/>
            <w:noWrap/>
            <w:vAlign w:val="center"/>
          </w:tcPr>
          <w:p w14:paraId="29197985">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2F2BA8DF">
            <w:pPr>
              <w:widowControl/>
              <w:adjustRightInd w:val="0"/>
              <w:snapToGrid w:val="0"/>
              <w:jc w:val="lef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1.自清算结束之日起，未在3个月内向登记管理机关办理注销登记；</w:t>
            </w:r>
          </w:p>
          <w:p w14:paraId="7C420BEC">
            <w:pPr>
              <w:widowControl/>
              <w:adjustRightInd w:val="0"/>
              <w:snapToGrid w:val="0"/>
              <w:jc w:val="lef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2.造成较大社会负面影响的，或者有其他情节较重情形。</w:t>
            </w:r>
          </w:p>
        </w:tc>
        <w:tc>
          <w:tcPr>
            <w:tcW w:w="612" w:type="pct"/>
            <w:shd w:val="clear" w:color="auto" w:fill="auto"/>
            <w:noWrap/>
            <w:vAlign w:val="center"/>
          </w:tcPr>
          <w:p w14:paraId="7C648DDC">
            <w:pPr>
              <w:widowControl/>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责令限期停止活动（1至6个月），没收违法经营额或者违法所得，可以并处违法经营额一倍以上二倍以下罚款或者违法所得三倍以上四倍以下罚款。</w:t>
            </w:r>
          </w:p>
        </w:tc>
      </w:tr>
      <w:tr w14:paraId="6B62C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833" w:hRule="exact"/>
          <w:jc w:val="center"/>
        </w:trPr>
        <w:tc>
          <w:tcPr>
            <w:tcW w:w="197" w:type="pct"/>
            <w:vMerge w:val="continue"/>
            <w:vAlign w:val="center"/>
          </w:tcPr>
          <w:p w14:paraId="5A6A59F2">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15E401CE">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62A8415F">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86AB44B">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8FADB3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shd w:val="clear" w:color="auto" w:fill="auto"/>
            <w:noWrap/>
            <w:vAlign w:val="center"/>
          </w:tcPr>
          <w:p w14:paraId="30A485DE">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1C0CDF94">
            <w:pPr>
              <w:widowControl/>
              <w:adjustRightInd w:val="0"/>
              <w:snapToGrid w:val="0"/>
              <w:jc w:val="lef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1.自清算结束之日起，未在6个月内向登记管理机关办理注销登记；</w:t>
            </w:r>
          </w:p>
          <w:p w14:paraId="1646D015">
            <w:pPr>
              <w:widowControl/>
              <w:adjustRightInd w:val="0"/>
              <w:snapToGrid w:val="0"/>
              <w:jc w:val="lef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2.造成严重社会负面影响，或者有其他情节严重情形。</w:t>
            </w:r>
          </w:p>
        </w:tc>
        <w:tc>
          <w:tcPr>
            <w:tcW w:w="612" w:type="pct"/>
            <w:shd w:val="clear" w:color="auto" w:fill="auto"/>
            <w:noWrap/>
            <w:vAlign w:val="center"/>
          </w:tcPr>
          <w:p w14:paraId="2854CBBD">
            <w:pPr>
              <w:widowControl/>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吊销登记证书，没收违法经营额或者违法所得，可以并处违法经营额二倍以上三倍以下罚款或者违法所得四倍以上五倍以下罚款。</w:t>
            </w:r>
          </w:p>
        </w:tc>
      </w:tr>
      <w:tr w14:paraId="03C6F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108" w:hRule="atLeast"/>
          <w:jc w:val="center"/>
        </w:trPr>
        <w:tc>
          <w:tcPr>
            <w:tcW w:w="197" w:type="pct"/>
            <w:vMerge w:val="restart"/>
            <w:noWrap/>
            <w:vAlign w:val="center"/>
          </w:tcPr>
          <w:p w14:paraId="0FFAEF5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7</w:t>
            </w:r>
          </w:p>
        </w:tc>
        <w:tc>
          <w:tcPr>
            <w:tcW w:w="1054" w:type="pct"/>
            <w:gridSpan w:val="2"/>
            <w:vMerge w:val="restart"/>
            <w:noWrap/>
            <w:vAlign w:val="center"/>
          </w:tcPr>
          <w:p w14:paraId="49AEF01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社会团体违反规定设立分支机构、代表机构，或者对分支机构、代表机构疏于管理，造成严重后果的。</w:t>
            </w:r>
          </w:p>
        </w:tc>
        <w:tc>
          <w:tcPr>
            <w:tcW w:w="940" w:type="pct"/>
            <w:vMerge w:val="restart"/>
            <w:noWrap/>
            <w:vAlign w:val="center"/>
          </w:tcPr>
          <w:p w14:paraId="360D162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十七条：社会团体的分支机构、代表机构是社会团体的组成部分，不具有法人资格，应当按照其所属于的社会团体的章程所规定的宗旨和业务范围，在该社会团体授权的范围内开展活动、发展会员。社会团体的分支机构不得再设立分支机构。</w:t>
            </w:r>
          </w:p>
          <w:p w14:paraId="373D412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社会团体不得设立地域性的分支机构。</w:t>
            </w:r>
          </w:p>
          <w:p w14:paraId="1223395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分支机构、代表机构管理办法》第五条、第六条、第七条、第八条、第九条、第十条、第十一条、第十二条、第十三条、第十四条、第十五条、第十六条、第十七条、第十八条、第十九条、第二十条、第二十六条</w:t>
            </w:r>
          </w:p>
        </w:tc>
        <w:tc>
          <w:tcPr>
            <w:tcW w:w="929" w:type="pct"/>
            <w:vMerge w:val="restart"/>
            <w:noWrap/>
            <w:vAlign w:val="center"/>
          </w:tcPr>
          <w:p w14:paraId="60963AC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5C0BCB0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51801B1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（五）违反规定设立分支机构、代表机构，或者对分支机构、代表机构疏于管理，造成严重后果的；</w:t>
            </w:r>
          </w:p>
          <w:p w14:paraId="0054DB0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60735C1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7A4EB1B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38BC7AFD">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6123F1A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1.违反规定设立分支机构、代表机构1个；</w:t>
            </w:r>
          </w:p>
          <w:p w14:paraId="6D3B02C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2.违法经营额或者违法所得5万元以下；</w:t>
            </w:r>
          </w:p>
          <w:p w14:paraId="1CA587E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3.社会不良影响较小，或者具有其他情节较轻情形。</w:t>
            </w:r>
          </w:p>
        </w:tc>
        <w:tc>
          <w:tcPr>
            <w:tcW w:w="612" w:type="pct"/>
            <w:noWrap/>
            <w:vAlign w:val="center"/>
          </w:tcPr>
          <w:p w14:paraId="02E84D4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警告。没收违法经营额或者违法所得。</w:t>
            </w:r>
          </w:p>
        </w:tc>
      </w:tr>
      <w:tr w14:paraId="6557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29" w:hRule="atLeast"/>
          <w:jc w:val="center"/>
        </w:trPr>
        <w:tc>
          <w:tcPr>
            <w:tcW w:w="197" w:type="pct"/>
            <w:vMerge w:val="continue"/>
            <w:noWrap/>
            <w:vAlign w:val="center"/>
          </w:tcPr>
          <w:p w14:paraId="226FCC53">
            <w:pPr>
              <w:adjustRightInd w:val="0"/>
              <w:snapToGrid w:val="0"/>
            </w:pPr>
          </w:p>
        </w:tc>
        <w:tc>
          <w:tcPr>
            <w:tcW w:w="1054" w:type="pct"/>
            <w:gridSpan w:val="2"/>
            <w:vMerge w:val="continue"/>
            <w:noWrap/>
            <w:vAlign w:val="center"/>
          </w:tcPr>
          <w:p w14:paraId="648CACBF">
            <w:pPr>
              <w:adjustRightInd w:val="0"/>
              <w:snapToGrid w:val="0"/>
            </w:pPr>
          </w:p>
        </w:tc>
        <w:tc>
          <w:tcPr>
            <w:tcW w:w="940" w:type="pct"/>
            <w:vMerge w:val="continue"/>
            <w:noWrap/>
            <w:vAlign w:val="center"/>
          </w:tcPr>
          <w:p w14:paraId="1F038091">
            <w:pPr>
              <w:adjustRightInd w:val="0"/>
              <w:snapToGrid w:val="0"/>
            </w:pPr>
          </w:p>
        </w:tc>
        <w:tc>
          <w:tcPr>
            <w:tcW w:w="929" w:type="pct"/>
            <w:vMerge w:val="continue"/>
            <w:noWrap/>
            <w:vAlign w:val="center"/>
          </w:tcPr>
          <w:p w14:paraId="2780EFAB">
            <w:pPr>
              <w:adjustRightInd w:val="0"/>
              <w:snapToGrid w:val="0"/>
            </w:pPr>
          </w:p>
        </w:tc>
        <w:tc>
          <w:tcPr>
            <w:tcW w:w="237" w:type="pct"/>
            <w:shd w:val="clear" w:color="auto" w:fill="auto"/>
            <w:noWrap/>
            <w:vAlign w:val="center"/>
          </w:tcPr>
          <w:p w14:paraId="4412CAA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shd w:val="clear" w:color="auto" w:fill="auto"/>
            <w:noWrap/>
            <w:vAlign w:val="center"/>
          </w:tcPr>
          <w:p w14:paraId="09772D8D">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0A8FBC6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1.违反规定设立分支机构、代表机构2个以上5个以下；</w:t>
            </w:r>
          </w:p>
          <w:p w14:paraId="651E59C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2.违法经营额或者违法所得5万元以上20万元以下；</w:t>
            </w:r>
          </w:p>
          <w:p w14:paraId="43D123D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3.造成较大不良社会影响，或者有其他情节较重情形。</w:t>
            </w:r>
          </w:p>
        </w:tc>
        <w:tc>
          <w:tcPr>
            <w:tcW w:w="612" w:type="pct"/>
            <w:shd w:val="clear" w:color="auto" w:fill="auto"/>
            <w:noWrap/>
            <w:vAlign w:val="center"/>
          </w:tcPr>
          <w:p w14:paraId="005E591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责令限期停止活动（1至6个月），没收违法经营额或者违法所得，可以并处违法经营额一倍以上二倍以下罚款或者违法所得三倍以上四倍以下罚款。</w:t>
            </w:r>
          </w:p>
        </w:tc>
      </w:tr>
      <w:tr w14:paraId="0959D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398" w:hRule="atLeast"/>
          <w:jc w:val="center"/>
        </w:trPr>
        <w:tc>
          <w:tcPr>
            <w:tcW w:w="197" w:type="pct"/>
            <w:vMerge w:val="continue"/>
            <w:noWrap/>
            <w:vAlign w:val="center"/>
          </w:tcPr>
          <w:p w14:paraId="2C623773">
            <w:pPr>
              <w:adjustRightInd w:val="0"/>
              <w:snapToGrid w:val="0"/>
              <w:rPr>
                <w:rFonts w:hAnsi="宋体" w:cs="宋体"/>
                <w:color w:val="000000" w:themeColor="text1"/>
                <w:kern w:val="0"/>
                <w:sz w:val="21"/>
                <w:szCs w:val="21"/>
                <w14:textFill>
                  <w14:solidFill>
                    <w14:schemeClr w14:val="tx1"/>
                  </w14:solidFill>
                </w14:textFill>
              </w:rPr>
            </w:pPr>
          </w:p>
        </w:tc>
        <w:tc>
          <w:tcPr>
            <w:tcW w:w="1054" w:type="pct"/>
            <w:gridSpan w:val="2"/>
            <w:vMerge w:val="continue"/>
            <w:noWrap/>
            <w:vAlign w:val="center"/>
          </w:tcPr>
          <w:p w14:paraId="4A1C688E">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noWrap/>
            <w:vAlign w:val="center"/>
          </w:tcPr>
          <w:p w14:paraId="4F20D65A">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noWrap/>
            <w:vAlign w:val="center"/>
          </w:tcPr>
          <w:p w14:paraId="5CD1BDEE">
            <w:pPr>
              <w:adjustRightInd w:val="0"/>
              <w:snapToGrid w:val="0"/>
              <w:rPr>
                <w:rFonts w:hAnsi="宋体" w:cs="宋体"/>
                <w:color w:val="000000" w:themeColor="text1"/>
                <w:kern w:val="0"/>
                <w:sz w:val="21"/>
                <w:szCs w:val="21"/>
                <w14:textFill>
                  <w14:solidFill>
                    <w14:schemeClr w14:val="tx1"/>
                  </w14:solidFill>
                </w14:textFill>
              </w:rPr>
            </w:pPr>
          </w:p>
        </w:tc>
        <w:tc>
          <w:tcPr>
            <w:tcW w:w="237" w:type="pct"/>
            <w:shd w:val="clear" w:color="auto" w:fill="auto"/>
            <w:noWrap/>
            <w:vAlign w:val="center"/>
          </w:tcPr>
          <w:p w14:paraId="2D3DB0D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shd w:val="clear" w:color="auto" w:fill="auto"/>
            <w:noWrap/>
            <w:vAlign w:val="center"/>
          </w:tcPr>
          <w:p w14:paraId="2FA02A46">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1F7315B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1.违反规定设立分支机构、代表机构5个以上；</w:t>
            </w:r>
          </w:p>
          <w:p w14:paraId="6A5C9BD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2.违法经营额或者违法所得20万元以上；</w:t>
            </w:r>
          </w:p>
          <w:p w14:paraId="23AD91D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3.2年内曾因违反规定设立分支机构、代表机构，或者对分支机构、代表机构疏于管理造成严重后果，受到过行政处罚，经责令改正拒不改正；</w:t>
            </w:r>
          </w:p>
          <w:p w14:paraId="5515A8E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4.造成严重不良社会影响，或者有其他情节严重情形。</w:t>
            </w:r>
          </w:p>
        </w:tc>
        <w:tc>
          <w:tcPr>
            <w:tcW w:w="612" w:type="pct"/>
            <w:shd w:val="clear" w:color="auto" w:fill="auto"/>
            <w:noWrap/>
            <w:vAlign w:val="center"/>
          </w:tcPr>
          <w:p w14:paraId="19BC832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吊销登记证书。没收违法经营额或违法所得，可以并处违法经营额二倍以上三倍以下罚款或者违法所得四倍以上五倍以下罚款。</w:t>
            </w:r>
          </w:p>
        </w:tc>
      </w:tr>
      <w:tr w14:paraId="7981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218" w:hRule="exact"/>
          <w:jc w:val="center"/>
        </w:trPr>
        <w:tc>
          <w:tcPr>
            <w:tcW w:w="197" w:type="pct"/>
            <w:vMerge w:val="restart"/>
            <w:noWrap/>
            <w:vAlign w:val="center"/>
          </w:tcPr>
          <w:p w14:paraId="503C3A2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8</w:t>
            </w:r>
          </w:p>
          <w:p w14:paraId="69CCBC64">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restart"/>
            <w:noWrap/>
            <w:vAlign w:val="center"/>
          </w:tcPr>
          <w:p w14:paraId="78AEF7A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社会团体从事营利性的经营活动。</w:t>
            </w:r>
          </w:p>
        </w:tc>
        <w:tc>
          <w:tcPr>
            <w:tcW w:w="940" w:type="pct"/>
            <w:vMerge w:val="restart"/>
            <w:noWrap/>
            <w:vAlign w:val="center"/>
          </w:tcPr>
          <w:p w14:paraId="21F69FD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《社会团体登记管理条例》第四条第二款：社会团体不得从事营利性经营活动。</w:t>
            </w:r>
          </w:p>
        </w:tc>
        <w:tc>
          <w:tcPr>
            <w:tcW w:w="929" w:type="pct"/>
            <w:vMerge w:val="restart"/>
            <w:noWrap/>
            <w:vAlign w:val="center"/>
          </w:tcPr>
          <w:p w14:paraId="53918F5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47BB4DB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4204457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（六）从事营利性的经营活动的；</w:t>
            </w:r>
          </w:p>
          <w:p w14:paraId="7182856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1388DAC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33984F6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2E9D20FC">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6EBBE43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1.从事营利性的经营活动，持续时间6个月以下；</w:t>
            </w:r>
          </w:p>
          <w:p w14:paraId="32FE87E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2.违法经营额或者违法所得20万元以下；</w:t>
            </w:r>
          </w:p>
          <w:p w14:paraId="5241C38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3.社会不良影响较小，或者具有其他情节较轻情形。</w:t>
            </w:r>
          </w:p>
        </w:tc>
        <w:tc>
          <w:tcPr>
            <w:tcW w:w="612" w:type="pct"/>
            <w:noWrap/>
            <w:vAlign w:val="center"/>
          </w:tcPr>
          <w:p w14:paraId="52E929F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警告。没收违法经营额或者违法所得。</w:t>
            </w:r>
          </w:p>
        </w:tc>
      </w:tr>
      <w:tr w14:paraId="7F0DD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860" w:hRule="exact"/>
          <w:jc w:val="center"/>
        </w:trPr>
        <w:tc>
          <w:tcPr>
            <w:tcW w:w="197" w:type="pct"/>
            <w:vMerge w:val="continue"/>
            <w:vAlign w:val="center"/>
          </w:tcPr>
          <w:p w14:paraId="1C7274AA">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35CE7CBF">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5CF5CAF1">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332C914E">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EFAB6D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21FA27EA">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5A79B85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1.从事营利性的经营活动，持续时间6个月以上1年以下；</w:t>
            </w:r>
          </w:p>
          <w:p w14:paraId="7406768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2.违法经营额或者违法所得20万元以上50万元以下；</w:t>
            </w:r>
          </w:p>
          <w:p w14:paraId="5453D00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3.造成较大社会负面影响的，或者有其他情节较重情形。</w:t>
            </w:r>
          </w:p>
        </w:tc>
        <w:tc>
          <w:tcPr>
            <w:tcW w:w="612" w:type="pct"/>
            <w:noWrap/>
            <w:vAlign w:val="center"/>
          </w:tcPr>
          <w:p w14:paraId="5B9947C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责令限期停止活动（1至6个月），没收违法经营额或者违法所得，可以并处违法经营额一倍以上二倍以下罚款或者违法所得三倍以上四倍以下罚款。</w:t>
            </w:r>
          </w:p>
        </w:tc>
      </w:tr>
      <w:tr w14:paraId="7FA0D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055" w:hRule="exact"/>
          <w:jc w:val="center"/>
        </w:trPr>
        <w:tc>
          <w:tcPr>
            <w:tcW w:w="197" w:type="pct"/>
            <w:vMerge w:val="continue"/>
            <w:vAlign w:val="center"/>
          </w:tcPr>
          <w:p w14:paraId="5D43E629">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49FE3F38">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67CB65D8">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55F9390">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60FDAA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07B5F0DD">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6D2E91F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1.从事营利性的经营活动，持续时间1年以上；</w:t>
            </w:r>
          </w:p>
          <w:p w14:paraId="413E683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2.违法经营额或者违法所得50万元以上；</w:t>
            </w:r>
          </w:p>
          <w:p w14:paraId="697E193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3.2年内曾因从事营利性的经营活动受到过行政处罚，经责令改正拒不改正；</w:t>
            </w:r>
          </w:p>
          <w:p w14:paraId="02F792A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4.造成严重不良社会影响，或者有其他情节严重情形。</w:t>
            </w:r>
          </w:p>
        </w:tc>
        <w:tc>
          <w:tcPr>
            <w:tcW w:w="612" w:type="pct"/>
            <w:noWrap/>
            <w:vAlign w:val="center"/>
          </w:tcPr>
          <w:p w14:paraId="648279C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吊销登记证书。没收违法经营额或者违法所得，可以并处违法经营额二倍以上三倍以下罚款或者违法所得四倍以上五倍以下罚款。</w:t>
            </w:r>
          </w:p>
        </w:tc>
      </w:tr>
      <w:tr w14:paraId="05C2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00" w:hRule="atLeast"/>
          <w:jc w:val="center"/>
        </w:trPr>
        <w:tc>
          <w:tcPr>
            <w:tcW w:w="197" w:type="pct"/>
            <w:vMerge w:val="restart"/>
            <w:noWrap/>
            <w:vAlign w:val="center"/>
          </w:tcPr>
          <w:p w14:paraId="5C9F33D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9</w:t>
            </w:r>
          </w:p>
        </w:tc>
        <w:tc>
          <w:tcPr>
            <w:tcW w:w="1054" w:type="pct"/>
            <w:gridSpan w:val="2"/>
            <w:vMerge w:val="restart"/>
            <w:noWrap/>
            <w:vAlign w:val="center"/>
          </w:tcPr>
          <w:p w14:paraId="14EFB62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侵占、私分、挪用社会团体资产或者所接受的捐赠、资助的。</w:t>
            </w:r>
          </w:p>
          <w:p w14:paraId="55537AC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具体主要有：</w:t>
            </w:r>
          </w:p>
          <w:p w14:paraId="071EB17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1.侵占社会团体资产或者所接受的捐赠、资助的；</w:t>
            </w:r>
          </w:p>
          <w:p w14:paraId="0A979F2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2.私分社会团体资产或者所接受的捐赠、资助的；</w:t>
            </w:r>
          </w:p>
          <w:p w14:paraId="22FC9C4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3.挪用社会团体资产或者所接受的捐赠、资助的。</w:t>
            </w:r>
          </w:p>
        </w:tc>
        <w:tc>
          <w:tcPr>
            <w:tcW w:w="940" w:type="pct"/>
            <w:vMerge w:val="restart"/>
            <w:noWrap/>
            <w:vAlign w:val="center"/>
          </w:tcPr>
          <w:p w14:paraId="6CA2E00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《社会团体登记管理条例》第二十六条第一款：社会团体的资产来源必须合法，任何单位和个人不得侵占、私分或者挪用社会团体的资产。</w:t>
            </w:r>
          </w:p>
          <w:p w14:paraId="79F8298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社会团体的经费，以及开展章程规定的活动按照国家有关规定所取得的合法收入，必须用于章程规定的业务活动，不得在会员中分配。</w:t>
            </w:r>
          </w:p>
        </w:tc>
        <w:tc>
          <w:tcPr>
            <w:tcW w:w="929" w:type="pct"/>
            <w:vMerge w:val="restart"/>
            <w:noWrap/>
            <w:vAlign w:val="center"/>
          </w:tcPr>
          <w:p w14:paraId="2E23BA4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07AB7BB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66EE0E3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（七）侵占、私分、挪用社会团体资产或者所接受的捐赠、资助的；</w:t>
            </w:r>
          </w:p>
          <w:p w14:paraId="6E72824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184E045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23830C0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21083BA0">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3F5547B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1.侵占、私分金额5万元以下；</w:t>
            </w:r>
          </w:p>
          <w:p w14:paraId="52177DA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2.挪用金额10万元以下；</w:t>
            </w:r>
          </w:p>
          <w:p w14:paraId="43211E7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3.社会不良影响较小，或者具有其他情节较轻情形。</w:t>
            </w:r>
          </w:p>
        </w:tc>
        <w:tc>
          <w:tcPr>
            <w:tcW w:w="612" w:type="pct"/>
            <w:noWrap/>
            <w:vAlign w:val="center"/>
          </w:tcPr>
          <w:p w14:paraId="47B1126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警告。没收违法经营额或者违法所得。</w:t>
            </w:r>
          </w:p>
        </w:tc>
      </w:tr>
      <w:tr w14:paraId="6A89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10" w:hRule="atLeast"/>
          <w:jc w:val="center"/>
        </w:trPr>
        <w:tc>
          <w:tcPr>
            <w:tcW w:w="197" w:type="pct"/>
            <w:vMerge w:val="continue"/>
            <w:vAlign w:val="center"/>
          </w:tcPr>
          <w:p w14:paraId="04AF05EE">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0D4BAECD">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ED5C438">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007CC78D">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7A7909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680BA0FC">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53B1A4B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1.侵占、私分金额5万元以上20万元以下；</w:t>
            </w:r>
          </w:p>
          <w:p w14:paraId="0233A17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2.挪用金额10万元以上50万元以下；</w:t>
            </w:r>
          </w:p>
          <w:p w14:paraId="345ECE7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3.造成较大社会负面影响的，或者有其他情节较重情形。</w:t>
            </w:r>
          </w:p>
        </w:tc>
        <w:tc>
          <w:tcPr>
            <w:tcW w:w="612" w:type="pct"/>
            <w:noWrap/>
            <w:vAlign w:val="center"/>
          </w:tcPr>
          <w:p w14:paraId="2D483D9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责令限期停止活动（1至6个月）。没收违法经营额或者违法所得，可以并处违法经营额一倍以上二倍以下罚款或者违法所得三倍以上四倍以下罚款。</w:t>
            </w:r>
          </w:p>
        </w:tc>
      </w:tr>
      <w:tr w14:paraId="13053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138" w:hRule="atLeast"/>
          <w:jc w:val="center"/>
        </w:trPr>
        <w:tc>
          <w:tcPr>
            <w:tcW w:w="197" w:type="pct"/>
            <w:vMerge w:val="continue"/>
            <w:vAlign w:val="center"/>
          </w:tcPr>
          <w:p w14:paraId="280E188E">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4D99419D">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04AC97F7">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0AE9B5A0">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4C1328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728065D8">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648A65E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1.侵占、私分金额20万元以上；</w:t>
            </w:r>
          </w:p>
          <w:p w14:paraId="40A0D2A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2.挪用金额50万元以上；</w:t>
            </w:r>
          </w:p>
          <w:p w14:paraId="5E5F4E3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3.2年内曾因侵占、私分、挪用社会团体资产或者所接受的捐赠、资助受到过行政处罚，经责令改正拒不改正；</w:t>
            </w:r>
          </w:p>
          <w:p w14:paraId="006324B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4.造成严重不良社会影响，或者有其他情节严重情形。</w:t>
            </w:r>
          </w:p>
        </w:tc>
        <w:tc>
          <w:tcPr>
            <w:tcW w:w="612" w:type="pct"/>
            <w:noWrap/>
            <w:vAlign w:val="center"/>
          </w:tcPr>
          <w:p w14:paraId="259A25D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吊销登记证书。没收违法经营额或违法所得，可以并处违法经营额二倍以上三倍以下罚款或者违法所得四倍以上五倍以下罚款。</w:t>
            </w:r>
          </w:p>
        </w:tc>
      </w:tr>
      <w:tr w14:paraId="5A97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36" w:hRule="atLeast"/>
          <w:jc w:val="center"/>
        </w:trPr>
        <w:tc>
          <w:tcPr>
            <w:tcW w:w="197" w:type="pct"/>
            <w:vMerge w:val="restart"/>
            <w:noWrap/>
            <w:vAlign w:val="center"/>
          </w:tcPr>
          <w:p w14:paraId="6178FEB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10</w:t>
            </w:r>
          </w:p>
        </w:tc>
        <w:tc>
          <w:tcPr>
            <w:tcW w:w="1054" w:type="pct"/>
            <w:gridSpan w:val="2"/>
            <w:vMerge w:val="restart"/>
            <w:noWrap/>
            <w:vAlign w:val="center"/>
          </w:tcPr>
          <w:p w14:paraId="5246BD9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社会团体违反国家有关规定收取费用、筹集资金。</w:t>
            </w:r>
          </w:p>
          <w:p w14:paraId="436EAFA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具体主要有：</w:t>
            </w:r>
          </w:p>
          <w:p w14:paraId="486A854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1.社会团体违反国家有关规定收取费用的；</w:t>
            </w:r>
          </w:p>
          <w:p w14:paraId="3A30605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2.社会团体违反国家有关规定筹集资金的。</w:t>
            </w:r>
          </w:p>
        </w:tc>
        <w:tc>
          <w:tcPr>
            <w:tcW w:w="940" w:type="pct"/>
            <w:vMerge w:val="restart"/>
            <w:noWrap/>
            <w:vAlign w:val="center"/>
          </w:tcPr>
          <w:p w14:paraId="67FAB1A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二十六条第三款：社会团体接受捐赠、资助，必须符合章程规定的宗旨和业务范围，必须根据与捐赠人、资助人约定的期限、方式和合法用途使用。社会团体应当向业务主管单位报告接受、使用捐赠、资助的有关情况，并应当将有关情况以适当方式向社会公布。</w:t>
            </w:r>
          </w:p>
        </w:tc>
        <w:tc>
          <w:tcPr>
            <w:tcW w:w="929" w:type="pct"/>
            <w:vMerge w:val="restart"/>
            <w:noWrap/>
            <w:vAlign w:val="center"/>
          </w:tcPr>
          <w:p w14:paraId="5758933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19821F8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3F98BFE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（八）违反国家有关规定收取费用、筹集资金或者接受、使用捐赠、资助的。</w:t>
            </w:r>
          </w:p>
          <w:p w14:paraId="1C16436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0D20D77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6CA301D8">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7C19796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1.违规收取费用或者筹集资金10万元以下；</w:t>
            </w:r>
          </w:p>
          <w:p w14:paraId="02BD3F4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2.社会不良影响较小，或者具有其他情节较轻情形。</w:t>
            </w:r>
          </w:p>
        </w:tc>
        <w:tc>
          <w:tcPr>
            <w:tcW w:w="612" w:type="pct"/>
            <w:noWrap/>
            <w:vAlign w:val="center"/>
          </w:tcPr>
          <w:p w14:paraId="382143D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警告。没收违法经营额或者违法所得。</w:t>
            </w:r>
          </w:p>
        </w:tc>
      </w:tr>
      <w:tr w14:paraId="43558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08" w:hRule="atLeast"/>
          <w:jc w:val="center"/>
        </w:trPr>
        <w:tc>
          <w:tcPr>
            <w:tcW w:w="197" w:type="pct"/>
            <w:vMerge w:val="continue"/>
            <w:vAlign w:val="center"/>
          </w:tcPr>
          <w:p w14:paraId="4B2B1B77">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36710F0B">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45CB000D">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F222BAE">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BD53AD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295F79D3">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7C43D31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1.违规收取费用或者筹集资金10万元以上50万元以下；</w:t>
            </w:r>
          </w:p>
          <w:p w14:paraId="0C5598E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2.造成较大社会负面影响的，或者有其他情节较重情形。</w:t>
            </w:r>
          </w:p>
        </w:tc>
        <w:tc>
          <w:tcPr>
            <w:tcW w:w="612" w:type="pct"/>
            <w:noWrap/>
            <w:vAlign w:val="center"/>
          </w:tcPr>
          <w:p w14:paraId="451F589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责令限期停止活动（1至6个月）。没收违法经营额或者违法所得，可以并处违法经营额一倍以上二倍以下罚款或者违法所得三倍以上四倍以下罚款。</w:t>
            </w:r>
          </w:p>
        </w:tc>
      </w:tr>
      <w:tr w14:paraId="699A8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973" w:hRule="atLeast"/>
          <w:jc w:val="center"/>
        </w:trPr>
        <w:tc>
          <w:tcPr>
            <w:tcW w:w="197" w:type="pct"/>
            <w:vMerge w:val="continue"/>
            <w:vAlign w:val="center"/>
          </w:tcPr>
          <w:p w14:paraId="0D85ED55">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461877AD">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1B4CADC">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5195B66">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048DF17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0A2334AB">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7371792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1.违规收取费用或者筹集资金50万元以上；</w:t>
            </w:r>
          </w:p>
          <w:p w14:paraId="61AB3F1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2.2年内曾因违反国家有关规定收取费用、筹集资金受到过行政处罚，经责令改正拒不改正；</w:t>
            </w:r>
          </w:p>
          <w:p w14:paraId="258B139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3.造成严重社会负面影响的，或者有其他情节严重情形。</w:t>
            </w:r>
          </w:p>
        </w:tc>
        <w:tc>
          <w:tcPr>
            <w:tcW w:w="612" w:type="pct"/>
            <w:noWrap/>
            <w:vAlign w:val="center"/>
          </w:tcPr>
          <w:p w14:paraId="0180E2F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吊销登记证书。没收违法经营额或违法所得，可以并处违法经营额二倍以上三倍以下罚款或者违法所得四倍以上五倍以下罚款。</w:t>
            </w:r>
          </w:p>
        </w:tc>
      </w:tr>
      <w:tr w14:paraId="3294A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197" w:type="pct"/>
            <w:vMerge w:val="restart"/>
            <w:noWrap/>
            <w:vAlign w:val="center"/>
          </w:tcPr>
          <w:p w14:paraId="36D7B6B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11</w:t>
            </w:r>
          </w:p>
        </w:tc>
        <w:tc>
          <w:tcPr>
            <w:tcW w:w="1054" w:type="pct"/>
            <w:gridSpan w:val="2"/>
            <w:vMerge w:val="restart"/>
            <w:noWrap/>
            <w:vAlign w:val="center"/>
          </w:tcPr>
          <w:p w14:paraId="71F7238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社会团体违反国家有关规定接受、使用捐赠、资助。</w:t>
            </w:r>
          </w:p>
          <w:p w14:paraId="0ADC93B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具体主要有：</w:t>
            </w:r>
          </w:p>
          <w:p w14:paraId="2972AA0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1.社会团体违反国家有关规定接受捐赠、资助的；</w:t>
            </w:r>
          </w:p>
          <w:p w14:paraId="77177F2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2.社会团体违反国家有关规定使用捐赠、资助的。</w:t>
            </w:r>
          </w:p>
        </w:tc>
        <w:tc>
          <w:tcPr>
            <w:tcW w:w="940" w:type="pct"/>
            <w:vMerge w:val="restart"/>
            <w:noWrap/>
            <w:vAlign w:val="center"/>
          </w:tcPr>
          <w:p w14:paraId="77E6E0C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二十六条第三款：社会团体接受捐赠、资助，必须符合章程规定的宗旨和业务范围，必须根据与捐赠人、资助人约定的期限、方式和合法用途使用。社会团体应当向业务主管单位报告接受、使用捐赠、资助的有关情况，并应当将有关情况以适当方式向社会公布。</w:t>
            </w:r>
          </w:p>
        </w:tc>
        <w:tc>
          <w:tcPr>
            <w:tcW w:w="929" w:type="pct"/>
            <w:vMerge w:val="restart"/>
            <w:noWrap/>
            <w:vAlign w:val="center"/>
          </w:tcPr>
          <w:p w14:paraId="31EE3AA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4082F5B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5E956B8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（八）违反国家有关规定收取费用、筹集资金或者接受、使用捐赠、资助的。</w:t>
            </w:r>
          </w:p>
          <w:p w14:paraId="6C8E43E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4F06E91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18AB966D">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530F79E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1.违反国家有关规定接受捐赠、资助20万元以下；</w:t>
            </w:r>
          </w:p>
          <w:p w14:paraId="577DEF6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2.违反国家有关规定使用捐赠、资助5万元以下；</w:t>
            </w:r>
          </w:p>
          <w:p w14:paraId="741DE34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3.社会不良影响较小，或者具有其他情节较轻情形。</w:t>
            </w:r>
          </w:p>
        </w:tc>
        <w:tc>
          <w:tcPr>
            <w:tcW w:w="612" w:type="pct"/>
            <w:noWrap/>
            <w:vAlign w:val="center"/>
          </w:tcPr>
          <w:p w14:paraId="0DA8561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警告。没收违法经营额或者违法所得。</w:t>
            </w:r>
          </w:p>
        </w:tc>
      </w:tr>
      <w:tr w14:paraId="49814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197" w:type="pct"/>
            <w:vMerge w:val="continue"/>
            <w:vAlign w:val="center"/>
          </w:tcPr>
          <w:p w14:paraId="41107B13">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1C504B6">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261FF102">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1010576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D4D2E0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4AEF36EE">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541F64C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1.违反国家有关规定接受捐赠、资助20万元以上50万元以下；</w:t>
            </w:r>
          </w:p>
          <w:p w14:paraId="0A46F8E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2.违反国家有关规定使用捐赠、资助5万元以上20万元以下；</w:t>
            </w:r>
          </w:p>
          <w:p w14:paraId="0B352E4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3.造成较大社会负面影响的，或者有其他情节较重情形。</w:t>
            </w:r>
          </w:p>
        </w:tc>
        <w:tc>
          <w:tcPr>
            <w:tcW w:w="612" w:type="pct"/>
            <w:noWrap/>
            <w:vAlign w:val="center"/>
          </w:tcPr>
          <w:p w14:paraId="7841DCE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责令限期停止活动（1至6个月）。没收违法经营额或者违法所得，可以并处违法经营额一倍以上二倍以下罚款或者违法所得三倍以上四倍以下罚款。</w:t>
            </w:r>
          </w:p>
        </w:tc>
      </w:tr>
      <w:tr w14:paraId="2CBC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112" w:hRule="exact"/>
          <w:jc w:val="center"/>
        </w:trPr>
        <w:tc>
          <w:tcPr>
            <w:tcW w:w="197" w:type="pct"/>
            <w:vAlign w:val="center"/>
          </w:tcPr>
          <w:p w14:paraId="123BD76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11</w:t>
            </w:r>
          </w:p>
        </w:tc>
        <w:tc>
          <w:tcPr>
            <w:tcW w:w="1054" w:type="pct"/>
            <w:gridSpan w:val="2"/>
            <w:vAlign w:val="center"/>
          </w:tcPr>
          <w:p w14:paraId="4FA2EBF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社会团体违反国家有关规定接受、使用捐赠、资助。</w:t>
            </w:r>
          </w:p>
          <w:p w14:paraId="38C743A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具体主要有：</w:t>
            </w:r>
          </w:p>
          <w:p w14:paraId="4F9F9CB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1.社会团体违反国家有关规定接受捐赠、资助的；</w:t>
            </w:r>
          </w:p>
          <w:p w14:paraId="3E89645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2.社会团体违反国家有关规定使用捐赠、资助的。</w:t>
            </w:r>
          </w:p>
        </w:tc>
        <w:tc>
          <w:tcPr>
            <w:tcW w:w="940" w:type="pct"/>
            <w:vAlign w:val="center"/>
          </w:tcPr>
          <w:p w14:paraId="732E633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二十六条第三款：社会团体接受捐赠、资助，必须符合章程规定的宗旨和业务范围，必须根据与捐赠人、资助人约定的期限、方式和合法用途使用。社会团体应当向业务主管单位报告接受、使用捐赠、资助的有关情况，并应当将有关情况以适当方式向社会公布。</w:t>
            </w:r>
          </w:p>
        </w:tc>
        <w:tc>
          <w:tcPr>
            <w:tcW w:w="929" w:type="pct"/>
            <w:vAlign w:val="center"/>
          </w:tcPr>
          <w:p w14:paraId="6B3A38B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条：社会团体有下列情形之一的，由登记管理机关给予警告，责令改正，可以限期停止活动，并可以责令撤换直接负责的主管人员；情节严重的，吊销登记证书；构成犯罪的，依法追究刑事责任：</w:t>
            </w:r>
          </w:p>
          <w:p w14:paraId="082A5AE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27D353D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（八）违反国家有关规定收取费用、筹集资金或者接受、使用捐赠、资助的。</w:t>
            </w:r>
          </w:p>
          <w:p w14:paraId="7C23F06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6452FB4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较重处罚</w:t>
            </w:r>
          </w:p>
        </w:tc>
        <w:tc>
          <w:tcPr>
            <w:tcW w:w="1028" w:type="pct"/>
            <w:noWrap/>
            <w:vAlign w:val="center"/>
          </w:tcPr>
          <w:p w14:paraId="73C60DEF">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4D8521A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1.违反国家有关规定接受捐赠、资助50万元以上；</w:t>
            </w:r>
          </w:p>
          <w:p w14:paraId="2E19055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2.违反国家有关规定使用捐赠、资助20万元以上；</w:t>
            </w:r>
          </w:p>
          <w:p w14:paraId="5DA4C7A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3.2年内曾因违反国家有关规定接受、使用捐赠、资助受到过行政处罚，经责令改正拒不改正；</w:t>
            </w:r>
          </w:p>
          <w:p w14:paraId="0D85977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4.造成严重社会负面影响的，或者有其他情节严重情形。</w:t>
            </w:r>
          </w:p>
        </w:tc>
        <w:tc>
          <w:tcPr>
            <w:tcW w:w="612" w:type="pct"/>
            <w:noWrap/>
            <w:vAlign w:val="center"/>
          </w:tcPr>
          <w:p w14:paraId="3E7861E1">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吊销登记证书。没收违法经营额或违法所得，可以并处违法经营额二倍以上三倍以下罚款或者违法所得四倍以上五倍以下罚款。</w:t>
            </w:r>
          </w:p>
          <w:p w14:paraId="0E3423CD">
            <w:pPr>
              <w:rPr>
                <w:rFonts w:hAnsi="宋体" w:cs="宋体"/>
                <w:color w:val="000000" w:themeColor="text1"/>
                <w:kern w:val="0"/>
                <w:sz w:val="21"/>
                <w:szCs w:val="21"/>
                <w14:textFill>
                  <w14:solidFill>
                    <w14:schemeClr w14:val="tx1"/>
                  </w14:solidFill>
                </w14:textFill>
              </w:rPr>
            </w:pPr>
          </w:p>
        </w:tc>
      </w:tr>
      <w:tr w14:paraId="13AA0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197" w:type="pct"/>
            <w:noWrap/>
            <w:vAlign w:val="center"/>
          </w:tcPr>
          <w:p w14:paraId="252D07E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12</w:t>
            </w:r>
          </w:p>
        </w:tc>
        <w:tc>
          <w:tcPr>
            <w:tcW w:w="1054" w:type="pct"/>
            <w:gridSpan w:val="2"/>
            <w:noWrap/>
            <w:vAlign w:val="center"/>
          </w:tcPr>
          <w:p w14:paraId="772A626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社会团体的活动违反其他法律、法规和国家有关规定的，由有关国家机关依法处理；有关国家机关认为依法应当吊销登记证书的，由登记管理机关吊销登记证书。</w:t>
            </w:r>
          </w:p>
        </w:tc>
        <w:tc>
          <w:tcPr>
            <w:tcW w:w="940" w:type="pct"/>
            <w:noWrap/>
            <w:vAlign w:val="center"/>
          </w:tcPr>
          <w:p w14:paraId="2812C89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《社会团体登记管理条例》第三十一条：社会团体的活动违反其他法律、法规和国家有关规定的，由有关国家机关依法处理；有关国家机关认为依法应当吊销登记证书的，由登记管理机关吊销登记证书。</w:t>
            </w:r>
          </w:p>
        </w:tc>
        <w:tc>
          <w:tcPr>
            <w:tcW w:w="929" w:type="pct"/>
            <w:noWrap/>
            <w:vAlign w:val="center"/>
          </w:tcPr>
          <w:p w14:paraId="12F8318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《社会团体登记管理条例》第三十一条：社会团体的活动违反其他法律、法规和国家有关规定的，由有关国家机关依法处理；有关国家机关认为依法应当吊销登记证书的，由登记管理机关吊销登记证书。</w:t>
            </w:r>
          </w:p>
        </w:tc>
        <w:tc>
          <w:tcPr>
            <w:tcW w:w="237" w:type="pct"/>
            <w:noWrap/>
            <w:vAlign w:val="center"/>
          </w:tcPr>
          <w:p w14:paraId="5AAFF41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0DA3AE5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社会团体违反《社会团体登记管理条例》以外的其他法律、法规和国家有关规定，有关国家机关认为应当撤销登记的，并出具明确书面意见。</w:t>
            </w:r>
          </w:p>
        </w:tc>
        <w:tc>
          <w:tcPr>
            <w:tcW w:w="612" w:type="pct"/>
            <w:noWrap/>
            <w:vAlign w:val="center"/>
          </w:tcPr>
          <w:p w14:paraId="1BB7E60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w:t>
            </w:r>
          </w:p>
        </w:tc>
      </w:tr>
      <w:tr w14:paraId="59F8D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197" w:type="pct"/>
            <w:noWrap/>
            <w:vAlign w:val="center"/>
          </w:tcPr>
          <w:p w14:paraId="38F1E17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13</w:t>
            </w:r>
          </w:p>
        </w:tc>
        <w:tc>
          <w:tcPr>
            <w:tcW w:w="1054" w:type="pct"/>
            <w:gridSpan w:val="2"/>
            <w:noWrap/>
            <w:vAlign w:val="center"/>
          </w:tcPr>
          <w:p w14:paraId="7DFDE1D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筹备期间开展筹备以外的活动。</w:t>
            </w:r>
          </w:p>
        </w:tc>
        <w:tc>
          <w:tcPr>
            <w:tcW w:w="940" w:type="pct"/>
            <w:noWrap/>
            <w:vAlign w:val="center"/>
          </w:tcPr>
          <w:p w14:paraId="06CCCFD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《社会团体登记管理条例》第九条：申请成立社会团体，应当经其业务主管单位审查同意，由发起人向登记管理机关申请登记。筹备期间不得开展筹备以外的活动。</w:t>
            </w:r>
          </w:p>
        </w:tc>
        <w:tc>
          <w:tcPr>
            <w:tcW w:w="929" w:type="pct"/>
            <w:noWrap/>
            <w:vAlign w:val="center"/>
          </w:tcPr>
          <w:p w14:paraId="07A6600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二条：筹备期间开展筹备以外的活动，或者未经登记，擅自以社会团体名义进行活动，以及被撤销登记的社会团体继续以社会团体名义进行活动的，由登记管理机关予以取缔，没收非法财产；构成犯罪的，依法</w:t>
            </w:r>
          </w:p>
          <w:p w14:paraId="552A58A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追究刑事责任；尚不构成犯罪的，依法给予治安管理处罚。</w:t>
            </w:r>
          </w:p>
        </w:tc>
        <w:tc>
          <w:tcPr>
            <w:tcW w:w="237" w:type="pct"/>
            <w:noWrap/>
            <w:vAlign w:val="center"/>
          </w:tcPr>
          <w:p w14:paraId="70853B7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01FB9FF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筹备期间开展筹备以外的活动，存在非法财产。</w:t>
            </w:r>
          </w:p>
        </w:tc>
        <w:tc>
          <w:tcPr>
            <w:tcW w:w="612" w:type="pct"/>
            <w:noWrap/>
            <w:vAlign w:val="center"/>
          </w:tcPr>
          <w:p w14:paraId="369F046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没收非法财产。</w:t>
            </w:r>
          </w:p>
        </w:tc>
      </w:tr>
      <w:tr w14:paraId="648C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197" w:type="pct"/>
            <w:noWrap/>
            <w:vAlign w:val="center"/>
          </w:tcPr>
          <w:p w14:paraId="7222C4B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14</w:t>
            </w:r>
          </w:p>
        </w:tc>
        <w:tc>
          <w:tcPr>
            <w:tcW w:w="1054" w:type="pct"/>
            <w:gridSpan w:val="2"/>
            <w:noWrap/>
            <w:vAlign w:val="center"/>
          </w:tcPr>
          <w:p w14:paraId="03DA40F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未经登记，擅自以社会团体名义进行活动。</w:t>
            </w:r>
          </w:p>
        </w:tc>
        <w:tc>
          <w:tcPr>
            <w:tcW w:w="940" w:type="pct"/>
            <w:noWrap/>
            <w:vAlign w:val="center"/>
          </w:tcPr>
          <w:p w14:paraId="6749DEC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《社会团体登记管理条例》第九条：申请成立社会团体，应当经其业务主管单位审查同意，由发起人向登记管理机关申请登记。筹备期间不得开展筹备以外的活动。</w:t>
            </w:r>
          </w:p>
        </w:tc>
        <w:tc>
          <w:tcPr>
            <w:tcW w:w="929" w:type="pct"/>
            <w:noWrap/>
            <w:vAlign w:val="center"/>
          </w:tcPr>
          <w:p w14:paraId="6BE8374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二条：筹备期间开展筹备以外的活动，或者未经登记，擅自以社会团体名义进行活动，以及被撤销登记的社会团体继续以社会团体名义进行活动的，由登记管理机关予以取缔，没收非法财产；构成犯罪的，依法</w:t>
            </w:r>
          </w:p>
          <w:p w14:paraId="19ADFD1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追究刑事责任；尚不构成犯罪的，依法给予治安管理处罚。</w:t>
            </w:r>
          </w:p>
        </w:tc>
        <w:tc>
          <w:tcPr>
            <w:tcW w:w="237" w:type="pct"/>
            <w:noWrap/>
            <w:vAlign w:val="center"/>
          </w:tcPr>
          <w:p w14:paraId="49DA4C4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72BBC13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未经登记，擅自以社会团体名义进行活动的行为，存在非法财产。</w:t>
            </w:r>
          </w:p>
        </w:tc>
        <w:tc>
          <w:tcPr>
            <w:tcW w:w="612" w:type="pct"/>
            <w:noWrap/>
            <w:vAlign w:val="center"/>
          </w:tcPr>
          <w:p w14:paraId="5ECE009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没收非法财产。</w:t>
            </w:r>
          </w:p>
        </w:tc>
      </w:tr>
      <w:tr w14:paraId="5881F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197" w:type="pct"/>
            <w:noWrap/>
            <w:vAlign w:val="center"/>
          </w:tcPr>
          <w:p w14:paraId="235E685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15</w:t>
            </w:r>
          </w:p>
        </w:tc>
        <w:tc>
          <w:tcPr>
            <w:tcW w:w="1054" w:type="pct"/>
            <w:gridSpan w:val="2"/>
            <w:noWrap/>
            <w:vAlign w:val="center"/>
          </w:tcPr>
          <w:p w14:paraId="2A75193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被撤销登记的社会团体继续以社会团体名义进行活动。</w:t>
            </w:r>
          </w:p>
        </w:tc>
        <w:tc>
          <w:tcPr>
            <w:tcW w:w="940" w:type="pct"/>
            <w:noWrap/>
            <w:vAlign w:val="center"/>
          </w:tcPr>
          <w:p w14:paraId="2802A0F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《社会团体登记管理条例》第九条：申请成立社会团体，应当经其业务主管单位审查同意，由发起人向登记管理机关申请登记。筹备期间不得开展筹备以外的活动。</w:t>
            </w:r>
          </w:p>
        </w:tc>
        <w:tc>
          <w:tcPr>
            <w:tcW w:w="929" w:type="pct"/>
            <w:noWrap/>
            <w:vAlign w:val="center"/>
          </w:tcPr>
          <w:p w14:paraId="07F9990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社会团体登记管理条例》第三十二条：筹备期间开展筹备以外的活动，或者未经登记，擅自以社会团体名义进行活动，以及被撤销登记的社会团体继续以社会团体名义进行活动的，由登记管理机关予以取缔，没收非法财产；构成犯罪的，依法追究刑事责任；尚不构成犯罪的，依法给予治安管理处罚。</w:t>
            </w:r>
          </w:p>
        </w:tc>
        <w:tc>
          <w:tcPr>
            <w:tcW w:w="237" w:type="pct"/>
            <w:noWrap/>
            <w:vAlign w:val="center"/>
          </w:tcPr>
          <w:p w14:paraId="3ECD040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003E5B9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被撤销登记的社会团体继续以社会团体名义进行活动的行为，存在非法财产。</w:t>
            </w:r>
          </w:p>
        </w:tc>
        <w:tc>
          <w:tcPr>
            <w:tcW w:w="612" w:type="pct"/>
            <w:noWrap/>
            <w:vAlign w:val="center"/>
          </w:tcPr>
          <w:p w14:paraId="62D7E44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没收非法财产。</w:t>
            </w:r>
          </w:p>
        </w:tc>
      </w:tr>
      <w:tr w14:paraId="35E90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exact"/>
          <w:jc w:val="center"/>
        </w:trPr>
        <w:tc>
          <w:tcPr>
            <w:tcW w:w="5000" w:type="pct"/>
            <w:gridSpan w:val="8"/>
            <w:noWrap/>
            <w:vAlign w:val="center"/>
          </w:tcPr>
          <w:p w14:paraId="37408387">
            <w:pPr>
              <w:adjustRightInd w:val="0"/>
              <w:snapToGrid w:val="0"/>
              <w:rPr>
                <w:rFonts w:ascii="黑体" w:hAnsi="黑体" w:eastAsia="黑体" w:cs="宋体"/>
                <w:color w:val="000000" w:themeColor="text1"/>
                <w:kern w:val="0"/>
                <w:sz w:val="21"/>
                <w:szCs w:val="21"/>
                <w14:textFill>
                  <w14:solidFill>
                    <w14:schemeClr w14:val="tx1"/>
                  </w14:solidFill>
                </w14:textFill>
              </w:rPr>
            </w:pPr>
            <w:r>
              <w:rPr>
                <w:rFonts w:hint="eastAsia" w:ascii="黑体" w:hAnsi="黑体" w:eastAsia="黑体" w:cs="宋体"/>
                <w:color w:val="000000" w:themeColor="text1"/>
                <w:kern w:val="0"/>
                <w:sz w:val="21"/>
                <w:szCs w:val="21"/>
                <w14:textFill>
                  <w14:solidFill>
                    <w14:schemeClr w14:val="tx1"/>
                  </w14:solidFill>
                </w14:textFill>
              </w:rPr>
              <w:t>二、基金会登记管理工作</w:t>
            </w:r>
          </w:p>
        </w:tc>
      </w:tr>
      <w:tr w14:paraId="1492E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017" w:hRule="exact"/>
          <w:jc w:val="center"/>
        </w:trPr>
        <w:tc>
          <w:tcPr>
            <w:tcW w:w="197" w:type="pct"/>
            <w:noWrap/>
            <w:vAlign w:val="center"/>
          </w:tcPr>
          <w:p w14:paraId="4DDC2EB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16</w:t>
            </w:r>
          </w:p>
        </w:tc>
        <w:tc>
          <w:tcPr>
            <w:tcW w:w="1054" w:type="pct"/>
            <w:gridSpan w:val="2"/>
            <w:noWrap/>
            <w:vAlign w:val="center"/>
          </w:tcPr>
          <w:p w14:paraId="269ED00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未经登记或者被撤销登记后以基金会名义开展活动。</w:t>
            </w:r>
          </w:p>
        </w:tc>
        <w:tc>
          <w:tcPr>
            <w:tcW w:w="940" w:type="pct"/>
            <w:noWrap/>
            <w:vAlign w:val="center"/>
          </w:tcPr>
          <w:p w14:paraId="512E027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《基金会管理条例》第四十条：未经登记或者被撤销登记后以基金会、基金会分支机构、基金会代表机构或者境外基金会代表机构名义开展活动的，由登记管理机关予以取缔，没收非法财产并向社会公告。</w:t>
            </w:r>
          </w:p>
        </w:tc>
        <w:tc>
          <w:tcPr>
            <w:tcW w:w="929" w:type="pct"/>
            <w:noWrap/>
            <w:vAlign w:val="center"/>
          </w:tcPr>
          <w:p w14:paraId="4C39EE4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《基金会管理条例》第四十条：未经登记或者被撤销登记后以基金会、基金会分支机构、基金会代表机构或者境外基金会代表机构名义开展活动的，由登记管理机关予以取缔，没收非法财产并向社会公告。</w:t>
            </w:r>
          </w:p>
        </w:tc>
        <w:tc>
          <w:tcPr>
            <w:tcW w:w="237" w:type="pct"/>
            <w:noWrap/>
            <w:vAlign w:val="center"/>
          </w:tcPr>
          <w:p w14:paraId="023AB8F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0DAD75E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未经登记或者被撤销登记后以基金会名义开展活动的，存在非法财产。</w:t>
            </w:r>
          </w:p>
        </w:tc>
        <w:tc>
          <w:tcPr>
            <w:tcW w:w="612" w:type="pct"/>
            <w:noWrap/>
            <w:vAlign w:val="center"/>
          </w:tcPr>
          <w:p w14:paraId="771299D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没收非法财产。</w:t>
            </w:r>
          </w:p>
        </w:tc>
      </w:tr>
      <w:tr w14:paraId="18288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87" w:hRule="exact"/>
          <w:jc w:val="center"/>
        </w:trPr>
        <w:tc>
          <w:tcPr>
            <w:tcW w:w="197" w:type="pct"/>
            <w:noWrap/>
            <w:vAlign w:val="center"/>
          </w:tcPr>
          <w:p w14:paraId="08A4EFF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17</w:t>
            </w:r>
          </w:p>
        </w:tc>
        <w:tc>
          <w:tcPr>
            <w:tcW w:w="1054" w:type="pct"/>
            <w:gridSpan w:val="2"/>
            <w:noWrap/>
            <w:vAlign w:val="center"/>
          </w:tcPr>
          <w:p w14:paraId="380190F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基金会、基金会分支机构、基金会代表机构符合注销条件，不按照《基金会管理条例》规定办理注销登记仍继续开展活动。</w:t>
            </w:r>
          </w:p>
        </w:tc>
        <w:tc>
          <w:tcPr>
            <w:tcW w:w="940" w:type="pct"/>
            <w:noWrap/>
            <w:vAlign w:val="center"/>
          </w:tcPr>
          <w:p w14:paraId="791ABD6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《基金会管理条例》第四十一条：基金会、基金会分支机构、基金会代表机构或者境外基金会代表机构有下列情形之一的，登记管理机关应当撤销登记：</w:t>
            </w:r>
          </w:p>
          <w:p w14:paraId="3275368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（一）在申请登记时弄虚作假骗取登记的，或者自取得登记证书之日起12个月内未按章程规定开展活动的；</w:t>
            </w:r>
          </w:p>
          <w:p w14:paraId="556D4E4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（二）符合注销条件，不按照本条例的规定办理注销登记仍继续开展活动的。</w:t>
            </w:r>
          </w:p>
        </w:tc>
        <w:tc>
          <w:tcPr>
            <w:tcW w:w="929" w:type="pct"/>
            <w:noWrap/>
            <w:vAlign w:val="center"/>
          </w:tcPr>
          <w:p w14:paraId="311D820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《基金会管理条例》第四十一条：基金会、基金会分支机构、基金会代表机构或者境外基金会代表机构有下列情形之一的，登记管理机关应当撤销登记：</w:t>
            </w:r>
          </w:p>
          <w:p w14:paraId="4D6AF33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（一）在申请登记时弄虚作假骗取登记的，或者自取得登记证书之日起12个月内未按章程规定开展活动的；</w:t>
            </w:r>
          </w:p>
          <w:p w14:paraId="7A10EBB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（二）符合注销条件，不按照本条例的规定办理注销登记仍继续开展活动的。</w:t>
            </w:r>
          </w:p>
        </w:tc>
        <w:tc>
          <w:tcPr>
            <w:tcW w:w="237" w:type="pct"/>
            <w:noWrap/>
            <w:vAlign w:val="center"/>
          </w:tcPr>
          <w:p w14:paraId="71B15CC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0DA50CB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符合注销条件，不按照本条例的规定办理注销登记仍继续开展活动。</w:t>
            </w:r>
          </w:p>
        </w:tc>
        <w:tc>
          <w:tcPr>
            <w:tcW w:w="612" w:type="pct"/>
            <w:noWrap/>
            <w:vAlign w:val="center"/>
          </w:tcPr>
          <w:p w14:paraId="272DEA2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w:t>
            </w:r>
          </w:p>
        </w:tc>
      </w:tr>
      <w:tr w14:paraId="20462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26" w:hRule="exact"/>
          <w:jc w:val="center"/>
        </w:trPr>
        <w:tc>
          <w:tcPr>
            <w:tcW w:w="197" w:type="pct"/>
            <w:vMerge w:val="restart"/>
            <w:noWrap/>
            <w:vAlign w:val="center"/>
          </w:tcPr>
          <w:p w14:paraId="57A6239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18</w:t>
            </w:r>
          </w:p>
        </w:tc>
        <w:tc>
          <w:tcPr>
            <w:tcW w:w="1054" w:type="pct"/>
            <w:gridSpan w:val="2"/>
            <w:vMerge w:val="restart"/>
            <w:noWrap/>
            <w:vAlign w:val="center"/>
          </w:tcPr>
          <w:p w14:paraId="40EA985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基金会及其分支机构、代表机构未按照章程规定的宗旨、业务范围进行活动。</w:t>
            </w:r>
          </w:p>
        </w:tc>
        <w:tc>
          <w:tcPr>
            <w:tcW w:w="940" w:type="pct"/>
            <w:vMerge w:val="restart"/>
            <w:noWrap/>
            <w:vAlign w:val="center"/>
          </w:tcPr>
          <w:p w14:paraId="69EB336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w:t>
            </w:r>
          </w:p>
          <w:p w14:paraId="101BCE4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第二十五条第一款：基金会组织募捐、接受捐赠，应当符合章程规定的宗旨和公益活动的业务范围。境外基金会代表机构不得在中国境内组织募捐、接受捐赠。</w:t>
            </w:r>
          </w:p>
          <w:p w14:paraId="3D2218C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第二十七条第二款：基金会应当根据章程规定的宗旨和公益活动的业务范围使用其财产；捐赠协议明确了具体使用方式的捐赠，根据捐赠协议的约定使用。</w:t>
            </w:r>
          </w:p>
        </w:tc>
        <w:tc>
          <w:tcPr>
            <w:tcW w:w="929" w:type="pct"/>
            <w:vMerge w:val="restart"/>
            <w:noWrap/>
            <w:vAlign w:val="center"/>
          </w:tcPr>
          <w:p w14:paraId="336CADF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《基金会管理条例》第四十二条：基金会、基金会分支机构、基金会代表机构或者境外基金会代表机构有下列情形之一的，由登记管理机关给予警告、责令停止活动；情节严重的，可以撤销登记：</w:t>
            </w:r>
          </w:p>
          <w:p w14:paraId="2ED2997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（一）未按照章程规定的宗旨和公益活动的业务范围进行活动的；</w:t>
            </w:r>
          </w:p>
          <w:p w14:paraId="4424EDA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0184071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6175553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具有以下情形之一：</w:t>
            </w:r>
          </w:p>
          <w:p w14:paraId="0A63D59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1.开展章程规定的宗旨、业务范围外的公益活动；</w:t>
            </w:r>
          </w:p>
          <w:p w14:paraId="61EDEE2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2.未按照章程规定的宗旨、业务范围进行活动，尚未造成不良影响。</w:t>
            </w:r>
          </w:p>
        </w:tc>
        <w:tc>
          <w:tcPr>
            <w:tcW w:w="612" w:type="pct"/>
            <w:noWrap/>
            <w:vAlign w:val="center"/>
          </w:tcPr>
          <w:p w14:paraId="389326E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6DDF1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30" w:hRule="exact"/>
          <w:jc w:val="center"/>
        </w:trPr>
        <w:tc>
          <w:tcPr>
            <w:tcW w:w="197" w:type="pct"/>
            <w:vMerge w:val="continue"/>
            <w:vAlign w:val="center"/>
          </w:tcPr>
          <w:p w14:paraId="4C8C005F">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4BE4AEE1">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294A050D">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195D8416">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5D00D9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2F5682E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具有以下情形之一：</w:t>
            </w:r>
          </w:p>
          <w:p w14:paraId="2F04474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1.开展章程规定的宗旨、业务范围外的公益活动的，经责令拒不改正；</w:t>
            </w:r>
          </w:p>
          <w:p w14:paraId="3A1D5DF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2.未按照章程规定的宗旨、业务范围进行活动，造成不良影响。</w:t>
            </w:r>
          </w:p>
        </w:tc>
        <w:tc>
          <w:tcPr>
            <w:tcW w:w="612" w:type="pct"/>
            <w:noWrap/>
            <w:vAlign w:val="center"/>
          </w:tcPr>
          <w:p w14:paraId="5FFA667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责令限期停止活动三个月。</w:t>
            </w:r>
          </w:p>
        </w:tc>
      </w:tr>
      <w:tr w14:paraId="3DD73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30" w:hRule="exact"/>
          <w:jc w:val="center"/>
        </w:trPr>
        <w:tc>
          <w:tcPr>
            <w:tcW w:w="197" w:type="pct"/>
            <w:vMerge w:val="continue"/>
            <w:vAlign w:val="center"/>
          </w:tcPr>
          <w:p w14:paraId="5F1E5FC0">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50EEAEE9">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6054D199">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8B51DA7">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9D7030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较重处罚</w:t>
            </w:r>
          </w:p>
        </w:tc>
        <w:tc>
          <w:tcPr>
            <w:tcW w:w="1028" w:type="pct"/>
            <w:noWrap/>
            <w:vAlign w:val="center"/>
          </w:tcPr>
          <w:p w14:paraId="1F14797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具有以下情形之一：</w:t>
            </w:r>
          </w:p>
          <w:p w14:paraId="4382490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1.开展非公益活动；</w:t>
            </w:r>
          </w:p>
          <w:p w14:paraId="4BCB216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2.未按照章程规定的宗旨、业务范围进行活动，造成重大不良影响。</w:t>
            </w:r>
          </w:p>
        </w:tc>
        <w:tc>
          <w:tcPr>
            <w:tcW w:w="612" w:type="pct"/>
            <w:noWrap/>
            <w:vAlign w:val="center"/>
          </w:tcPr>
          <w:p w14:paraId="6F7A3DB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责令限期停止活动六个月。</w:t>
            </w:r>
          </w:p>
        </w:tc>
      </w:tr>
      <w:tr w14:paraId="587CD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30" w:hRule="exact"/>
          <w:jc w:val="center"/>
        </w:trPr>
        <w:tc>
          <w:tcPr>
            <w:tcW w:w="197" w:type="pct"/>
            <w:vMerge w:val="continue"/>
            <w:vAlign w:val="center"/>
          </w:tcPr>
          <w:p w14:paraId="3843C50A">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FB99EA5">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29B2FC7A">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40FE2B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6C4CF0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6053A29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违法行为符合较重条件，且具有以下情形之一：</w:t>
            </w:r>
          </w:p>
          <w:p w14:paraId="76D8D01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1.责令改正拒不改正；</w:t>
            </w:r>
          </w:p>
          <w:p w14:paraId="3357E83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2.开展的活动属于国家明令禁止或危害社会稳定；</w:t>
            </w:r>
          </w:p>
          <w:p w14:paraId="20383FE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3.违法行为造成严重影响。</w:t>
            </w:r>
          </w:p>
        </w:tc>
        <w:tc>
          <w:tcPr>
            <w:tcW w:w="612" w:type="pct"/>
            <w:noWrap/>
            <w:vAlign w:val="center"/>
          </w:tcPr>
          <w:p w14:paraId="2D223FA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w:t>
            </w:r>
          </w:p>
        </w:tc>
      </w:tr>
      <w:tr w14:paraId="7803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41" w:hRule="exact"/>
          <w:jc w:val="center"/>
        </w:trPr>
        <w:tc>
          <w:tcPr>
            <w:tcW w:w="197" w:type="pct"/>
            <w:vMerge w:val="restart"/>
            <w:noWrap/>
            <w:vAlign w:val="center"/>
          </w:tcPr>
          <w:p w14:paraId="21480FA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19</w:t>
            </w:r>
          </w:p>
        </w:tc>
        <w:tc>
          <w:tcPr>
            <w:tcW w:w="1054" w:type="pct"/>
            <w:gridSpan w:val="2"/>
            <w:vMerge w:val="restart"/>
            <w:noWrap/>
            <w:vAlign w:val="center"/>
          </w:tcPr>
          <w:p w14:paraId="103E7DE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基金会及其分支机构、代表机构在填制会计凭证、登记会计账簿、编制财务会计报告中弄虚作假。</w:t>
            </w:r>
          </w:p>
        </w:tc>
        <w:tc>
          <w:tcPr>
            <w:tcW w:w="940" w:type="pct"/>
            <w:vMerge w:val="restart"/>
            <w:noWrap/>
            <w:vAlign w:val="center"/>
          </w:tcPr>
          <w:p w14:paraId="33A9026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《基金会管理条例》第四十二条：基金会、基金会分支机构、基金会代表机构或者境外基金会代表机构有下列情形之一的，由登记管理机关给予警告、责令停止活动；情节严重的，可以撤销登记：</w:t>
            </w:r>
          </w:p>
          <w:p w14:paraId="39C7523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2435F7A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（二）在填制会计凭证、登记会计账簿、编制财务会计报告中弄虚作假的；</w:t>
            </w:r>
          </w:p>
        </w:tc>
        <w:tc>
          <w:tcPr>
            <w:tcW w:w="929" w:type="pct"/>
            <w:vMerge w:val="restart"/>
            <w:noWrap/>
            <w:vAlign w:val="center"/>
          </w:tcPr>
          <w:p w14:paraId="3F65639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《基金会管理条例》第四十二条：基金会、基金会分支机构、基金会代表机构或者境外基金会代表机构有下列情形之一的，由登记管理机关给予警告、责令停止活动；情节严重的，可以撤销登记：</w:t>
            </w:r>
          </w:p>
          <w:p w14:paraId="6D053CC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2D65AB0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（二）在填制会计凭证、登记会计账簿、编制财务会计报告中弄虚作假的；</w:t>
            </w:r>
          </w:p>
        </w:tc>
        <w:tc>
          <w:tcPr>
            <w:tcW w:w="237" w:type="pct"/>
            <w:noWrap/>
            <w:vAlign w:val="center"/>
          </w:tcPr>
          <w:p w14:paraId="74032ED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6E6B6EC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经济差额不超过十万元。</w:t>
            </w:r>
          </w:p>
        </w:tc>
        <w:tc>
          <w:tcPr>
            <w:tcW w:w="612" w:type="pct"/>
            <w:noWrap/>
            <w:vAlign w:val="center"/>
          </w:tcPr>
          <w:p w14:paraId="5B72DC8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2DBD4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41" w:hRule="exact"/>
          <w:jc w:val="center"/>
        </w:trPr>
        <w:tc>
          <w:tcPr>
            <w:tcW w:w="197" w:type="pct"/>
            <w:vMerge w:val="continue"/>
            <w:vAlign w:val="center"/>
          </w:tcPr>
          <w:p w14:paraId="47C91188">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C9F3D06">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4E914033">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3F554C5">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3910F2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722F1B0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经济差额十万元以上不超过五十万元。</w:t>
            </w:r>
          </w:p>
        </w:tc>
        <w:tc>
          <w:tcPr>
            <w:tcW w:w="612" w:type="pct"/>
            <w:noWrap/>
            <w:vAlign w:val="center"/>
          </w:tcPr>
          <w:p w14:paraId="581D07F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责令限期停止活动三个月。</w:t>
            </w:r>
          </w:p>
        </w:tc>
      </w:tr>
      <w:tr w14:paraId="290F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41" w:hRule="exact"/>
          <w:jc w:val="center"/>
        </w:trPr>
        <w:tc>
          <w:tcPr>
            <w:tcW w:w="197" w:type="pct"/>
            <w:vMerge w:val="continue"/>
            <w:vAlign w:val="center"/>
          </w:tcPr>
          <w:p w14:paraId="6FDD2DF2">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56D6B765">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0E4453DD">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72FD3CDF">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D344AA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较重处罚</w:t>
            </w:r>
          </w:p>
        </w:tc>
        <w:tc>
          <w:tcPr>
            <w:tcW w:w="1028" w:type="pct"/>
            <w:noWrap/>
            <w:vAlign w:val="center"/>
          </w:tcPr>
          <w:p w14:paraId="5E01248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经济差额五十万元以上。</w:t>
            </w:r>
          </w:p>
        </w:tc>
        <w:tc>
          <w:tcPr>
            <w:tcW w:w="612" w:type="pct"/>
            <w:noWrap/>
            <w:vAlign w:val="center"/>
          </w:tcPr>
          <w:p w14:paraId="11AC48D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责令限期停止活动六个月。</w:t>
            </w:r>
          </w:p>
        </w:tc>
      </w:tr>
      <w:tr w14:paraId="7B994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41" w:hRule="exact"/>
          <w:jc w:val="center"/>
        </w:trPr>
        <w:tc>
          <w:tcPr>
            <w:tcW w:w="197" w:type="pct"/>
            <w:vMerge w:val="continue"/>
            <w:vAlign w:val="center"/>
          </w:tcPr>
          <w:p w14:paraId="75C5F082">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2C63343">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179229DD">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A212D40">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3D3CD66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7A20C49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违法行为符合较重条件，且具有以下情形之一：</w:t>
            </w:r>
          </w:p>
          <w:p w14:paraId="0320237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1.责令改正拒不改正；</w:t>
            </w:r>
          </w:p>
          <w:p w14:paraId="26BA577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2.违法行为造成严重影响。</w:t>
            </w:r>
          </w:p>
        </w:tc>
        <w:tc>
          <w:tcPr>
            <w:tcW w:w="612" w:type="pct"/>
            <w:noWrap/>
            <w:vAlign w:val="center"/>
          </w:tcPr>
          <w:p w14:paraId="1A4705C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w:t>
            </w:r>
          </w:p>
        </w:tc>
      </w:tr>
      <w:tr w14:paraId="5F3F5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41" w:hRule="exact"/>
          <w:jc w:val="center"/>
        </w:trPr>
        <w:tc>
          <w:tcPr>
            <w:tcW w:w="197" w:type="pct"/>
            <w:vMerge w:val="restart"/>
            <w:noWrap/>
            <w:vAlign w:val="center"/>
          </w:tcPr>
          <w:p w14:paraId="767818B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20</w:t>
            </w:r>
          </w:p>
        </w:tc>
        <w:tc>
          <w:tcPr>
            <w:tcW w:w="1054" w:type="pct"/>
            <w:gridSpan w:val="2"/>
            <w:vMerge w:val="restart"/>
            <w:noWrap/>
            <w:vAlign w:val="center"/>
          </w:tcPr>
          <w:p w14:paraId="5EE105A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基金会不按照规定办理变更登记。</w:t>
            </w:r>
          </w:p>
        </w:tc>
        <w:tc>
          <w:tcPr>
            <w:tcW w:w="940" w:type="pct"/>
            <w:vMerge w:val="restart"/>
            <w:noWrap/>
            <w:vAlign w:val="center"/>
          </w:tcPr>
          <w:p w14:paraId="6CC27CA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《基金会管理条例》第十五条：基金会、基金会分支机构、基金会代表机构和境外基金会代表机构的登记事项需要变更的，应当向登记管理机关申请变更登记。</w:t>
            </w:r>
          </w:p>
        </w:tc>
        <w:tc>
          <w:tcPr>
            <w:tcW w:w="929" w:type="pct"/>
            <w:vMerge w:val="restart"/>
            <w:noWrap/>
            <w:vAlign w:val="center"/>
          </w:tcPr>
          <w:p w14:paraId="275569A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第四十二条第一款第（三）项：基金会、基金会分支机构、基金会代表机构或者境外基金会代表机构有下列情形之一的，由登记管理机关给予警告、责令停止活动；情节严重的，可以撤销登记：</w:t>
            </w:r>
          </w:p>
          <w:p w14:paraId="518BE71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5024C74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（三）不按照规定办理变更登记的；</w:t>
            </w:r>
          </w:p>
          <w:p w14:paraId="64B750D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2C6C8D1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542EA58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无正当理由，不按照规定变更登记事项1项，超期12个月以上。</w:t>
            </w:r>
          </w:p>
        </w:tc>
        <w:tc>
          <w:tcPr>
            <w:tcW w:w="612" w:type="pct"/>
            <w:noWrap/>
            <w:vAlign w:val="center"/>
          </w:tcPr>
          <w:p w14:paraId="2F66CC0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警告，责令改正。</w:t>
            </w:r>
          </w:p>
        </w:tc>
      </w:tr>
      <w:tr w14:paraId="011DF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41" w:hRule="exact"/>
          <w:jc w:val="center"/>
        </w:trPr>
        <w:tc>
          <w:tcPr>
            <w:tcW w:w="197" w:type="pct"/>
            <w:vMerge w:val="continue"/>
            <w:vAlign w:val="center"/>
          </w:tcPr>
          <w:p w14:paraId="67D29AE3">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3B557236">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3148EB54">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B36E620">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6D5D8F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2E11BC7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无正当理由，不按照规定变更登记事项2至3项，超期12个月以上。</w:t>
            </w:r>
          </w:p>
        </w:tc>
        <w:tc>
          <w:tcPr>
            <w:tcW w:w="612" w:type="pct"/>
            <w:noWrap/>
            <w:vAlign w:val="center"/>
          </w:tcPr>
          <w:p w14:paraId="254D9BF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责令限期停止活动三个月。</w:t>
            </w:r>
          </w:p>
        </w:tc>
      </w:tr>
      <w:tr w14:paraId="26233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41" w:hRule="exact"/>
          <w:jc w:val="center"/>
        </w:trPr>
        <w:tc>
          <w:tcPr>
            <w:tcW w:w="197" w:type="pct"/>
            <w:vMerge w:val="continue"/>
            <w:vAlign w:val="center"/>
          </w:tcPr>
          <w:p w14:paraId="38E0DC48">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F9271B2">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4F47AA58">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B83B453">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13A50D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较重处罚</w:t>
            </w:r>
          </w:p>
        </w:tc>
        <w:tc>
          <w:tcPr>
            <w:tcW w:w="1028" w:type="pct"/>
            <w:noWrap/>
            <w:vAlign w:val="center"/>
          </w:tcPr>
          <w:p w14:paraId="6CD731A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无正当理由，不按照规定变更登记事项4项以上，超期12个月以上。</w:t>
            </w:r>
          </w:p>
        </w:tc>
        <w:tc>
          <w:tcPr>
            <w:tcW w:w="612" w:type="pct"/>
            <w:noWrap/>
            <w:vAlign w:val="center"/>
          </w:tcPr>
          <w:p w14:paraId="0F34653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责令限期停止活动六个月。</w:t>
            </w:r>
          </w:p>
        </w:tc>
      </w:tr>
      <w:tr w14:paraId="191CA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41" w:hRule="exact"/>
          <w:jc w:val="center"/>
        </w:trPr>
        <w:tc>
          <w:tcPr>
            <w:tcW w:w="197" w:type="pct"/>
            <w:vMerge w:val="continue"/>
            <w:vAlign w:val="center"/>
          </w:tcPr>
          <w:p w14:paraId="0EC5E10F">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0071824">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9998F6B">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1953B1BA">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B2EE45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21FB89D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经责令整改拒不改正，且违法行为造成严重影响。</w:t>
            </w:r>
          </w:p>
        </w:tc>
        <w:tc>
          <w:tcPr>
            <w:tcW w:w="612" w:type="pct"/>
            <w:noWrap/>
            <w:vAlign w:val="center"/>
          </w:tcPr>
          <w:p w14:paraId="1E42826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w:t>
            </w:r>
          </w:p>
        </w:tc>
      </w:tr>
      <w:tr w14:paraId="7424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41" w:hRule="exact"/>
          <w:jc w:val="center"/>
        </w:trPr>
        <w:tc>
          <w:tcPr>
            <w:tcW w:w="197" w:type="pct"/>
            <w:vMerge w:val="restart"/>
            <w:noWrap/>
            <w:vAlign w:val="center"/>
          </w:tcPr>
          <w:p w14:paraId="5C35775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21</w:t>
            </w:r>
          </w:p>
        </w:tc>
        <w:tc>
          <w:tcPr>
            <w:tcW w:w="1054" w:type="pct"/>
            <w:gridSpan w:val="2"/>
            <w:vMerge w:val="restart"/>
            <w:noWrap/>
            <w:vAlign w:val="center"/>
          </w:tcPr>
          <w:p w14:paraId="5FC8E17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基金会未按照《基金会管理条例》规定完成公益事业支出额度。（基金会登记或者认定为慈善组织的按照本基准57项处罚）</w:t>
            </w:r>
          </w:p>
        </w:tc>
        <w:tc>
          <w:tcPr>
            <w:tcW w:w="940" w:type="pct"/>
            <w:vMerge w:val="restart"/>
            <w:noWrap/>
            <w:vAlign w:val="center"/>
          </w:tcPr>
          <w:p w14:paraId="4E4FA94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《基金会管理条例》第二十九条第一款：公募基金会每年用于从事章程规定的公益事业支出，不得低于上一年总收入的70%；非公募基金会每年用于从事章程规定的公益事业支出，不得低于上一年基金余额的8%。</w:t>
            </w:r>
          </w:p>
        </w:tc>
        <w:tc>
          <w:tcPr>
            <w:tcW w:w="929" w:type="pct"/>
            <w:vMerge w:val="restart"/>
            <w:noWrap/>
            <w:vAlign w:val="center"/>
          </w:tcPr>
          <w:p w14:paraId="1A5166E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《基金会管理条例》第四十二条：基金会、基金会分支机构、基金会代表机构或者境外基金会代表机构有下列情形之一的，由登记管理机关给予警告、责令停止活动；情节严重的，可以撤销登记：</w:t>
            </w:r>
          </w:p>
          <w:p w14:paraId="578BB23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25AB1B2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（四）未按照本条例的规定完成公益事业支出额度的；</w:t>
            </w:r>
          </w:p>
          <w:p w14:paraId="49228F9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63A85B7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7546A53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基金会一年未按照《基金会管理条例》规定完成公益事业支出额度。</w:t>
            </w:r>
          </w:p>
        </w:tc>
        <w:tc>
          <w:tcPr>
            <w:tcW w:w="612" w:type="pct"/>
            <w:noWrap/>
            <w:vAlign w:val="center"/>
          </w:tcPr>
          <w:p w14:paraId="1F099CE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63DA0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41" w:hRule="exact"/>
          <w:jc w:val="center"/>
        </w:trPr>
        <w:tc>
          <w:tcPr>
            <w:tcW w:w="197" w:type="pct"/>
            <w:vMerge w:val="continue"/>
            <w:vAlign w:val="center"/>
          </w:tcPr>
          <w:p w14:paraId="2B56E2F6">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59DF72CD">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101F75AE">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198496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3CB3BB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656C601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基金会连续两年未按照《基金会管理条例》规定完成公益事业支出额度。</w:t>
            </w:r>
          </w:p>
        </w:tc>
        <w:tc>
          <w:tcPr>
            <w:tcW w:w="612" w:type="pct"/>
            <w:noWrap/>
            <w:vAlign w:val="center"/>
          </w:tcPr>
          <w:p w14:paraId="7824DAE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责令限期停止活动三个月</w:t>
            </w:r>
          </w:p>
        </w:tc>
      </w:tr>
      <w:tr w14:paraId="6120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41" w:hRule="exact"/>
          <w:jc w:val="center"/>
        </w:trPr>
        <w:tc>
          <w:tcPr>
            <w:tcW w:w="197" w:type="pct"/>
            <w:vMerge w:val="continue"/>
            <w:vAlign w:val="center"/>
          </w:tcPr>
          <w:p w14:paraId="61B29DE9">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2FF3DCEA">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25E2390A">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780E2841">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2F195D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较重处罚</w:t>
            </w:r>
          </w:p>
        </w:tc>
        <w:tc>
          <w:tcPr>
            <w:tcW w:w="1028" w:type="pct"/>
            <w:noWrap/>
            <w:vAlign w:val="center"/>
          </w:tcPr>
          <w:p w14:paraId="6263A53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基金会连续三年以上未按照《基金会管理条例》规定完成公益事业支出额度。</w:t>
            </w:r>
          </w:p>
        </w:tc>
        <w:tc>
          <w:tcPr>
            <w:tcW w:w="612" w:type="pct"/>
            <w:noWrap/>
            <w:vAlign w:val="center"/>
          </w:tcPr>
          <w:p w14:paraId="75453B1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责令限期停止活动六个月。</w:t>
            </w:r>
          </w:p>
        </w:tc>
      </w:tr>
      <w:tr w14:paraId="046E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41" w:hRule="exact"/>
          <w:jc w:val="center"/>
        </w:trPr>
        <w:tc>
          <w:tcPr>
            <w:tcW w:w="197" w:type="pct"/>
            <w:vMerge w:val="continue"/>
            <w:vAlign w:val="center"/>
          </w:tcPr>
          <w:p w14:paraId="13A6FB7E">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0B6158C4">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9AE2D20">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23E8357">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04F7E67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322DF50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违法行为符合较重条件，且具有以下情形之一：</w:t>
            </w:r>
          </w:p>
          <w:p w14:paraId="753B560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1.责令改正拒不改正；</w:t>
            </w:r>
          </w:p>
          <w:p w14:paraId="020E8FD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2.违法行为造成严重影响。</w:t>
            </w:r>
          </w:p>
        </w:tc>
        <w:tc>
          <w:tcPr>
            <w:tcW w:w="612" w:type="pct"/>
            <w:noWrap/>
            <w:vAlign w:val="center"/>
          </w:tcPr>
          <w:p w14:paraId="5CA5CD7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w:t>
            </w:r>
          </w:p>
        </w:tc>
      </w:tr>
      <w:tr w14:paraId="1873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701" w:hRule="exact"/>
          <w:jc w:val="center"/>
        </w:trPr>
        <w:tc>
          <w:tcPr>
            <w:tcW w:w="197" w:type="pct"/>
            <w:vMerge w:val="restart"/>
            <w:noWrap/>
            <w:vAlign w:val="center"/>
          </w:tcPr>
          <w:p w14:paraId="5899564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22</w:t>
            </w:r>
          </w:p>
        </w:tc>
        <w:tc>
          <w:tcPr>
            <w:tcW w:w="1054" w:type="pct"/>
            <w:gridSpan w:val="2"/>
            <w:vMerge w:val="restart"/>
            <w:noWrap/>
            <w:vAlign w:val="center"/>
          </w:tcPr>
          <w:p w14:paraId="1E759A0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基金会拒不接受或不按照规定接受监督检查。</w:t>
            </w:r>
          </w:p>
        </w:tc>
        <w:tc>
          <w:tcPr>
            <w:tcW w:w="940" w:type="pct"/>
            <w:vMerge w:val="restart"/>
            <w:noWrap/>
            <w:vAlign w:val="center"/>
          </w:tcPr>
          <w:p w14:paraId="78EB760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第三十六条第一款：基金会、境外基金会代表机构应当于每年3月31日前向登记管理机关报送上一年度工作报告，接受年度检查。年度工作报告在报送登记管理机关前应当经业务主管单位审查同意。</w:t>
            </w:r>
            <w:r>
              <w:rPr>
                <w:rFonts w:hint="eastAsia" w:hAnsi="宋体" w:cs="宋体"/>
                <w:color w:val="000000" w:themeColor="text1"/>
                <w:kern w:val="0"/>
                <w:sz w:val="21"/>
                <w:szCs w:val="21"/>
                <w14:textFill>
                  <w14:solidFill>
                    <w14:schemeClr w14:val="tx1"/>
                  </w14:solidFill>
                </w14:textFill>
              </w:rPr>
              <w:br w:type="page"/>
            </w:r>
          </w:p>
        </w:tc>
        <w:tc>
          <w:tcPr>
            <w:tcW w:w="929" w:type="pct"/>
            <w:vMerge w:val="restart"/>
            <w:noWrap/>
            <w:vAlign w:val="center"/>
          </w:tcPr>
          <w:p w14:paraId="59C128C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《基金会管理条例》第四十二条：基金会、基金会分支机构、基金会代表机构或者境外基金会代表机构有下列情形之一的，由登记管理机关给予警告、责令停止活动；情节严重的，可以撤销登记：</w:t>
            </w:r>
            <w:r>
              <w:rPr>
                <w:rFonts w:hint="eastAsia" w:hAnsi="宋体" w:cs="宋体"/>
                <w:color w:val="000000" w:themeColor="text1"/>
                <w:kern w:val="0"/>
                <w:sz w:val="21"/>
                <w:szCs w:val="21"/>
                <w14:textFill>
                  <w14:solidFill>
                    <w14:schemeClr w14:val="tx1"/>
                  </w14:solidFill>
                </w14:textFill>
              </w:rPr>
              <w:br w:type="textWrapping"/>
            </w: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w:t>
            </w:r>
            <w:r>
              <w:rPr>
                <w:rFonts w:hint="eastAsia" w:hAnsi="宋体" w:cs="宋体"/>
                <w:color w:val="000000" w:themeColor="text1"/>
                <w:kern w:val="0"/>
                <w:sz w:val="21"/>
                <w:szCs w:val="21"/>
                <w14:textFill>
                  <w14:solidFill>
                    <w14:schemeClr w14:val="tx1"/>
                  </w14:solidFill>
                </w14:textFill>
              </w:rPr>
              <w:br w:type="textWrapping"/>
            </w: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（五）未按照本条例的规定接受年度检查，或者年度检查不合格的；</w:t>
            </w:r>
            <w:r>
              <w:rPr>
                <w:rFonts w:hint="eastAsia" w:hAnsi="宋体" w:cs="宋体"/>
                <w:color w:val="000000" w:themeColor="text1"/>
                <w:kern w:val="0"/>
                <w:sz w:val="21"/>
                <w:szCs w:val="21"/>
                <w14:textFill>
                  <w14:solidFill>
                    <w14:schemeClr w14:val="tx1"/>
                  </w14:solidFill>
                </w14:textFill>
              </w:rPr>
              <w:br w:type="page"/>
            </w:r>
          </w:p>
        </w:tc>
        <w:tc>
          <w:tcPr>
            <w:tcW w:w="237" w:type="pct"/>
            <w:noWrap/>
            <w:vAlign w:val="center"/>
          </w:tcPr>
          <w:p w14:paraId="7CAE835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34AD057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无正当理由，不按照规定参加年报或者接受监督检查。</w:t>
            </w:r>
          </w:p>
        </w:tc>
        <w:tc>
          <w:tcPr>
            <w:tcW w:w="612" w:type="pct"/>
            <w:noWrap/>
            <w:vAlign w:val="center"/>
          </w:tcPr>
          <w:p w14:paraId="1908811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7AD1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119" w:hRule="exact"/>
          <w:jc w:val="center"/>
        </w:trPr>
        <w:tc>
          <w:tcPr>
            <w:tcW w:w="197" w:type="pct"/>
            <w:vMerge w:val="continue"/>
            <w:vAlign w:val="center"/>
          </w:tcPr>
          <w:p w14:paraId="7A70CB55">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2C1DE616">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636CBE50">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7D6C8AF">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C3EC5E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61C9F79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具有以下情形之一：</w:t>
            </w:r>
          </w:p>
          <w:p w14:paraId="6347BEF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1.无正当理由，累计2次不按照规定参加年报或者接受监督检查；</w:t>
            </w:r>
          </w:p>
          <w:p w14:paraId="15E3A5B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2.责令改正后，仍然不按照规定接受或者拒不接受监督检查。</w:t>
            </w:r>
          </w:p>
        </w:tc>
        <w:tc>
          <w:tcPr>
            <w:tcW w:w="612" w:type="pct"/>
            <w:noWrap/>
            <w:vAlign w:val="center"/>
          </w:tcPr>
          <w:p w14:paraId="4F9E0F5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w:t>
            </w:r>
          </w:p>
        </w:tc>
      </w:tr>
      <w:tr w14:paraId="5AAE5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345" w:hRule="exact"/>
          <w:jc w:val="center"/>
        </w:trPr>
        <w:tc>
          <w:tcPr>
            <w:tcW w:w="197" w:type="pct"/>
            <w:vMerge w:val="continue"/>
            <w:vAlign w:val="center"/>
          </w:tcPr>
          <w:p w14:paraId="0F13A680">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B7B1E7F">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43D48554">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013FDDD">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0E60BA4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2B15777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具有以下情形之一：</w:t>
            </w:r>
          </w:p>
          <w:p w14:paraId="5C55F62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1.无正当理由，累计2次以上不按照规定参加年报或者接受监督检查，造成严重影响的；</w:t>
            </w:r>
          </w:p>
          <w:p w14:paraId="199D777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2.再次责令改正后，仍然不按照规定接受或者拒不接受监督检查。</w:t>
            </w:r>
          </w:p>
        </w:tc>
        <w:tc>
          <w:tcPr>
            <w:tcW w:w="612" w:type="pct"/>
            <w:noWrap/>
            <w:vAlign w:val="center"/>
          </w:tcPr>
          <w:p w14:paraId="6B94981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w:t>
            </w:r>
          </w:p>
        </w:tc>
      </w:tr>
      <w:tr w14:paraId="3322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69" w:hRule="exact"/>
          <w:jc w:val="center"/>
        </w:trPr>
        <w:tc>
          <w:tcPr>
            <w:tcW w:w="197" w:type="pct"/>
            <w:vMerge w:val="restart"/>
            <w:noWrap/>
            <w:vAlign w:val="center"/>
          </w:tcPr>
          <w:p w14:paraId="6A928C0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23</w:t>
            </w:r>
          </w:p>
        </w:tc>
        <w:tc>
          <w:tcPr>
            <w:tcW w:w="1054" w:type="pct"/>
            <w:gridSpan w:val="2"/>
            <w:vMerge w:val="restart"/>
            <w:noWrap/>
            <w:vAlign w:val="center"/>
          </w:tcPr>
          <w:p w14:paraId="0A97C60B">
            <w:pPr>
              <w:adjustRightInd w:val="0"/>
              <w:snapToGrid w:val="0"/>
              <w:spacing w:line="220" w:lineRule="exact"/>
              <w:rPr>
                <w:rFonts w:hAnsi="宋体" w:cs="宋体"/>
                <w:color w:val="000000" w:themeColor="text1"/>
                <w:kern w:val="0"/>
                <w:sz w:val="20"/>
                <w:szCs w:val="20"/>
                <w14:textFill>
                  <w14:solidFill>
                    <w14:schemeClr w14:val="tx1"/>
                  </w14:solidFill>
                </w14:textFill>
              </w:rPr>
            </w:pPr>
            <w:r>
              <w:rPr>
                <w:rFonts w:hint="eastAsia" w:hAnsi="宋体" w:cs="宋体"/>
                <w:color w:val="000000" w:themeColor="text1"/>
                <w:kern w:val="0"/>
                <w:sz w:val="20"/>
                <w:szCs w:val="20"/>
                <w14:textFill>
                  <w14:solidFill>
                    <w14:schemeClr w14:val="tx1"/>
                  </w14:solidFill>
                </w14:textFill>
              </w:rPr>
              <w:t>基金会不履行信息公布义务。</w:t>
            </w:r>
          </w:p>
          <w:p w14:paraId="5AD99FBF">
            <w:pPr>
              <w:adjustRightInd w:val="0"/>
              <w:snapToGrid w:val="0"/>
              <w:spacing w:line="220" w:lineRule="exact"/>
              <w:rPr>
                <w:rFonts w:hAnsi="宋体" w:cs="宋体"/>
                <w:color w:val="000000" w:themeColor="text1"/>
                <w:kern w:val="0"/>
                <w:sz w:val="20"/>
                <w:szCs w:val="20"/>
                <w14:textFill>
                  <w14:solidFill>
                    <w14:schemeClr w14:val="tx1"/>
                  </w14:solidFill>
                </w14:textFill>
              </w:rPr>
            </w:pPr>
            <w:r>
              <w:rPr>
                <w:rFonts w:hint="eastAsia" w:hAnsi="宋体" w:cs="宋体"/>
                <w:color w:val="000000" w:themeColor="text1"/>
                <w:kern w:val="0"/>
                <w:sz w:val="20"/>
                <w:szCs w:val="20"/>
                <w14:textFill>
                  <w14:solidFill>
                    <w14:schemeClr w14:val="tx1"/>
                  </w14:solidFill>
                </w14:textFill>
              </w:rPr>
              <w:t>具体主要有：</w:t>
            </w:r>
          </w:p>
          <w:p w14:paraId="211BB642">
            <w:pPr>
              <w:adjustRightInd w:val="0"/>
              <w:snapToGrid w:val="0"/>
              <w:spacing w:line="220" w:lineRule="exact"/>
              <w:rPr>
                <w:rFonts w:hAnsi="宋体" w:cs="宋体"/>
                <w:color w:val="000000" w:themeColor="text1"/>
                <w:kern w:val="0"/>
                <w:sz w:val="20"/>
                <w:szCs w:val="20"/>
                <w14:textFill>
                  <w14:solidFill>
                    <w14:schemeClr w14:val="tx1"/>
                  </w14:solidFill>
                </w14:textFill>
              </w:rPr>
            </w:pPr>
            <w:r>
              <w:rPr>
                <w:rFonts w:hint="eastAsia" w:hAnsi="宋体" w:cs="宋体"/>
                <w:color w:val="000000" w:themeColor="text1"/>
                <w:kern w:val="0"/>
                <w:sz w:val="20"/>
                <w:szCs w:val="20"/>
                <w14:textFill>
                  <w14:solidFill>
                    <w14:schemeClr w14:val="tx1"/>
                  </w14:solidFill>
                </w14:textFill>
              </w:rPr>
              <w:t>1．登记管理机关审查通过后30日内，信息公布义务人未公布年度工作报告的全文和摘要的。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2．信息公布义务人未按照统一的格式要求公布年度工作报告的全文和摘要的。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3．信息公布义务人未在登记管理机关指定的媒体上公布年度工作报告的全文和摘要的。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4．信息公布义务人的财务会计报告未经审计对外公布的。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5．公募基金会组织募捐活动，未公布募得资金后拟开展的公益活动和资金的详细使用计划的。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6．在募捐活动持续期间内，未及时公布募捐活动所取得的收入和用于开展公益活动的成本支出情况的。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7．募捐活动结束后，未公布募捐活动取得的总收入及其使用情况的。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8．基金会开展公益资助项目，未公布所开展的公益项目种类以及申请、评审程序的。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9．评审结束后，未公布评审结果并通知申请人的。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10．公益资助项目完成后，未公布有关的资金使用情况的。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11．事后对项目进行评估的，未同时公布评估结果的。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12.信息公布所使用的媒体未覆盖信息公布义务人的活动地域。</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13.公布的信息内容中未注明信息公布义务人的基本情况和联系、咨询方式。</w:t>
            </w:r>
          </w:p>
        </w:tc>
        <w:tc>
          <w:tcPr>
            <w:tcW w:w="940" w:type="pct"/>
            <w:vMerge w:val="restart"/>
            <w:noWrap/>
            <w:vAlign w:val="center"/>
          </w:tcPr>
          <w:p w14:paraId="3ABF205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w:t>
            </w:r>
          </w:p>
          <w:p w14:paraId="062A531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第二十五条第二款：公募基金会组织募捐，应当向社会公布募得资金后拟开展的公益活动和资金的详细使用计划。</w:t>
            </w:r>
          </w:p>
          <w:p w14:paraId="0D41D8A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第三十条：基金会开展公益资助项目，应当向社会公布所开展的公益资助项目种类以及申请、评审程序。</w:t>
            </w:r>
          </w:p>
          <w:p w14:paraId="20C5BF4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第三十八条：基金会、境外基金会代表机构应当在通过登记管理机关的年度检查后，将年度工作报告在登记管理机关指定的媒体上公布，接受社会公众的查询、监督。</w:t>
            </w:r>
          </w:p>
        </w:tc>
        <w:tc>
          <w:tcPr>
            <w:tcW w:w="929" w:type="pct"/>
            <w:vMerge w:val="restart"/>
            <w:noWrap/>
            <w:vAlign w:val="center"/>
          </w:tcPr>
          <w:p w14:paraId="4BE34E4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《基金会管理条例》第四十二条：基金会、基金会分支机构、基金会代表机构或者境外基金会代表机构有下列情形之一的，由登记管理机关给予警告、责令停止活动；情节严重的，可以撤销登记：</w:t>
            </w:r>
          </w:p>
          <w:p w14:paraId="7A3AF17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0DACFA0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（六）不履行信息公布义务或者公布虚假信息的；</w:t>
            </w:r>
          </w:p>
        </w:tc>
        <w:tc>
          <w:tcPr>
            <w:tcW w:w="237" w:type="pct"/>
            <w:noWrap/>
            <w:vAlign w:val="center"/>
          </w:tcPr>
          <w:p w14:paraId="255E2B5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1153A08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具有以下情形之一：</w:t>
            </w:r>
          </w:p>
          <w:p w14:paraId="13DA4FA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1.信息公布不全，不履行信息公布义务5项以下；</w:t>
            </w:r>
          </w:p>
          <w:p w14:paraId="567BFBB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2.公布范围不能覆盖信息公布义务人的活动地域。</w:t>
            </w:r>
          </w:p>
        </w:tc>
        <w:tc>
          <w:tcPr>
            <w:tcW w:w="612" w:type="pct"/>
            <w:noWrap/>
            <w:vAlign w:val="center"/>
          </w:tcPr>
          <w:p w14:paraId="596BC1B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505EC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229" w:hRule="exact"/>
          <w:jc w:val="center"/>
        </w:trPr>
        <w:tc>
          <w:tcPr>
            <w:tcW w:w="197" w:type="pct"/>
            <w:vMerge w:val="continue"/>
            <w:vAlign w:val="center"/>
          </w:tcPr>
          <w:p w14:paraId="24DB5194">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3AED4DD9">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4546A3F4">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104DF9F7">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885CD9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2384BF1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不履行信息公布义务6至9项。</w:t>
            </w:r>
          </w:p>
        </w:tc>
        <w:tc>
          <w:tcPr>
            <w:tcW w:w="612" w:type="pct"/>
            <w:noWrap/>
            <w:vAlign w:val="center"/>
          </w:tcPr>
          <w:p w14:paraId="680A8CD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责令限期停止活动三个月。</w:t>
            </w:r>
          </w:p>
        </w:tc>
      </w:tr>
      <w:tr w14:paraId="42FB5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69" w:hRule="exact"/>
          <w:jc w:val="center"/>
        </w:trPr>
        <w:tc>
          <w:tcPr>
            <w:tcW w:w="197" w:type="pct"/>
            <w:vMerge w:val="restart"/>
            <w:vAlign w:val="center"/>
          </w:tcPr>
          <w:p w14:paraId="1D872C9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23</w:t>
            </w:r>
          </w:p>
        </w:tc>
        <w:tc>
          <w:tcPr>
            <w:tcW w:w="1054" w:type="pct"/>
            <w:gridSpan w:val="2"/>
            <w:vMerge w:val="restart"/>
            <w:vAlign w:val="center"/>
          </w:tcPr>
          <w:p w14:paraId="5F342A8F">
            <w:pPr>
              <w:adjustRightInd w:val="0"/>
              <w:snapToGrid w:val="0"/>
              <w:spacing w:line="220" w:lineRule="exact"/>
              <w:rPr>
                <w:rFonts w:hAnsi="宋体" w:cs="宋体"/>
                <w:color w:val="000000" w:themeColor="text1"/>
                <w:kern w:val="0"/>
                <w:sz w:val="20"/>
                <w:szCs w:val="20"/>
                <w14:textFill>
                  <w14:solidFill>
                    <w14:schemeClr w14:val="tx1"/>
                  </w14:solidFill>
                </w14:textFill>
              </w:rPr>
            </w:pPr>
            <w:r>
              <w:rPr>
                <w:rFonts w:hint="eastAsia" w:hAnsi="宋体" w:cs="宋体"/>
                <w:color w:val="000000" w:themeColor="text1"/>
                <w:kern w:val="0"/>
                <w:sz w:val="20"/>
                <w:szCs w:val="20"/>
                <w14:textFill>
                  <w14:solidFill>
                    <w14:schemeClr w14:val="tx1"/>
                  </w14:solidFill>
                </w14:textFill>
              </w:rPr>
              <w:t>基金会不履行信息公布义务。</w:t>
            </w:r>
          </w:p>
          <w:p w14:paraId="3AA4271B">
            <w:pPr>
              <w:adjustRightInd w:val="0"/>
              <w:snapToGrid w:val="0"/>
              <w:spacing w:line="220" w:lineRule="exact"/>
              <w:rPr>
                <w:rFonts w:hAnsi="宋体" w:cs="宋体"/>
                <w:color w:val="000000" w:themeColor="text1"/>
                <w:kern w:val="0"/>
                <w:sz w:val="20"/>
                <w:szCs w:val="20"/>
                <w14:textFill>
                  <w14:solidFill>
                    <w14:schemeClr w14:val="tx1"/>
                  </w14:solidFill>
                </w14:textFill>
              </w:rPr>
            </w:pPr>
            <w:r>
              <w:rPr>
                <w:rFonts w:hint="eastAsia" w:hAnsi="宋体" w:cs="宋体"/>
                <w:color w:val="000000" w:themeColor="text1"/>
                <w:kern w:val="0"/>
                <w:sz w:val="20"/>
                <w:szCs w:val="20"/>
                <w14:textFill>
                  <w14:solidFill>
                    <w14:schemeClr w14:val="tx1"/>
                  </w14:solidFill>
                </w14:textFill>
              </w:rPr>
              <w:t>具体主要有：</w:t>
            </w:r>
          </w:p>
          <w:p w14:paraId="72C02269">
            <w:pPr>
              <w:adjustRightInd w:val="0"/>
              <w:snapToGrid w:val="0"/>
              <w:spacing w:line="220" w:lineRule="exact"/>
              <w:rPr>
                <w:rFonts w:hAnsi="宋体" w:cs="宋体"/>
                <w:color w:val="000000" w:themeColor="text1"/>
                <w:kern w:val="0"/>
                <w:sz w:val="20"/>
                <w:szCs w:val="20"/>
                <w14:textFill>
                  <w14:solidFill>
                    <w14:schemeClr w14:val="tx1"/>
                  </w14:solidFill>
                </w14:textFill>
              </w:rPr>
            </w:pPr>
            <w:r>
              <w:rPr>
                <w:rFonts w:hint="eastAsia" w:hAnsi="宋体" w:cs="宋体"/>
                <w:color w:val="000000" w:themeColor="text1"/>
                <w:kern w:val="0"/>
                <w:sz w:val="20"/>
                <w:szCs w:val="20"/>
                <w14:textFill>
                  <w14:solidFill>
                    <w14:schemeClr w14:val="tx1"/>
                  </w14:solidFill>
                </w14:textFill>
              </w:rPr>
              <w:t>1．登记管理机关审查通过后30日内，信息公布义务人未公布年度工作报告的全文和摘要的。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2．信息公布义务人未按照统一的格式要求公布年度工作报告的全文和摘要的。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3．信息公布义务人未在登记管理机关指定的媒体上公布年度工作报告的全文和摘要的。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4．信息公布义务人的财务会计报告未经审计对外公布的。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5．公募基金会组织募捐活动，未公布募得资金后拟开展的公益活动和资金的详细使用计划的。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6．在募捐活动持续期间内，未及时公布募捐活动所取得的收入和用于开展公益活动的成本支出情况的。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7．募捐活动结束后，未公布募捐活动取得的总收入及其使用情况的。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8．基金会开展公益资助项目，未公布所开展的公益项目种类以及申请、评审程序的。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9．评审结束后，未公布评审结果并通知申请人的。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10．公益资助项目完成后，未公布有关的资金使用情况的。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11．事后对项目进行评估的，未同时公布评估结果的。</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12.信息公布所使用的媒体未覆盖信息公布义务人的活动地域。</w:t>
            </w:r>
            <w:r>
              <w:rPr>
                <w:rFonts w:hint="eastAsia" w:hAnsi="宋体" w:cs="宋体"/>
                <w:color w:val="000000" w:themeColor="text1"/>
                <w:kern w:val="0"/>
                <w:sz w:val="20"/>
                <w:szCs w:val="20"/>
                <w14:textFill>
                  <w14:solidFill>
                    <w14:schemeClr w14:val="tx1"/>
                  </w14:solidFill>
                </w14:textFill>
              </w:rPr>
              <w:br w:type="textWrapping"/>
            </w:r>
            <w:r>
              <w:rPr>
                <w:rFonts w:hint="eastAsia" w:hAnsi="宋体" w:cs="宋体"/>
                <w:color w:val="000000" w:themeColor="text1"/>
                <w:kern w:val="0"/>
                <w:sz w:val="20"/>
                <w:szCs w:val="20"/>
                <w14:textFill>
                  <w14:solidFill>
                    <w14:schemeClr w14:val="tx1"/>
                  </w14:solidFill>
                </w14:textFill>
              </w:rPr>
              <w:t>13.公布的信息内容中未注明信息公布义务人的基本情况和联系、咨询方式。</w:t>
            </w:r>
          </w:p>
        </w:tc>
        <w:tc>
          <w:tcPr>
            <w:tcW w:w="940" w:type="pct"/>
            <w:vMerge w:val="restart"/>
            <w:vAlign w:val="center"/>
          </w:tcPr>
          <w:p w14:paraId="5CFD157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w:t>
            </w:r>
          </w:p>
          <w:p w14:paraId="6787638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第二十五条第二款：公募基金会组织募捐，应当向社会公布募得资金后拟开展的公益活动和资金的详细使用计划。</w:t>
            </w:r>
          </w:p>
          <w:p w14:paraId="344AEC5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第三十条：基金会开展公益资助项目，应当向社会公布所开展的公益资助项目种类以及申请、评审程序。</w:t>
            </w:r>
          </w:p>
          <w:p w14:paraId="1633473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第三十八条：基金会、境外基金会代表机构应当在通过登记管理机关的年度检查后，将年度工作报告在登记管理机关指定的媒体上公布，接受社会公众的查询、监督。</w:t>
            </w:r>
          </w:p>
        </w:tc>
        <w:tc>
          <w:tcPr>
            <w:tcW w:w="929" w:type="pct"/>
            <w:vMerge w:val="restart"/>
            <w:vAlign w:val="center"/>
          </w:tcPr>
          <w:p w14:paraId="2D3D4AB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《基金会管理条例》第四十二条：基金会、基金会分支机构、基金会代表机构或者境外基金会代表机构有下列情形之一的，由登记管理机关给予警告、责令停止活动；情节严重的，可以撤销登记：</w:t>
            </w:r>
          </w:p>
          <w:p w14:paraId="3B408F9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431AE5C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（六）不履行信息公布义务或者公布虚假信息的；</w:t>
            </w:r>
          </w:p>
          <w:p w14:paraId="695DBFD7">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9EC15C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较重处罚</w:t>
            </w:r>
          </w:p>
        </w:tc>
        <w:tc>
          <w:tcPr>
            <w:tcW w:w="1028" w:type="pct"/>
            <w:noWrap/>
            <w:vAlign w:val="center"/>
          </w:tcPr>
          <w:p w14:paraId="7D277EC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不履行信息公布义务10项以上。</w:t>
            </w:r>
          </w:p>
        </w:tc>
        <w:tc>
          <w:tcPr>
            <w:tcW w:w="612" w:type="pct"/>
            <w:noWrap/>
            <w:vAlign w:val="center"/>
          </w:tcPr>
          <w:p w14:paraId="48CC7BE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责令限期停止活动六个月。</w:t>
            </w:r>
          </w:p>
        </w:tc>
      </w:tr>
      <w:tr w14:paraId="3DEC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217" w:hRule="exact"/>
          <w:jc w:val="center"/>
        </w:trPr>
        <w:tc>
          <w:tcPr>
            <w:tcW w:w="197" w:type="pct"/>
            <w:vMerge w:val="continue"/>
            <w:vAlign w:val="center"/>
          </w:tcPr>
          <w:p w14:paraId="5B693393">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C804F76">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63665E8D">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0BF7226">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31BFFA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781B539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违法行为符合较重条件，且具有以下情形之一：</w:t>
            </w:r>
          </w:p>
          <w:p w14:paraId="3936A72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1.责令改正拒不改正；</w:t>
            </w:r>
          </w:p>
          <w:p w14:paraId="5C0CFFC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2.违法行为造成严重影响。</w:t>
            </w:r>
          </w:p>
        </w:tc>
        <w:tc>
          <w:tcPr>
            <w:tcW w:w="612" w:type="pct"/>
            <w:noWrap/>
            <w:vAlign w:val="center"/>
          </w:tcPr>
          <w:p w14:paraId="1AE8E11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w:t>
            </w:r>
          </w:p>
        </w:tc>
      </w:tr>
      <w:tr w14:paraId="4C2D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restart"/>
            <w:noWrap/>
            <w:vAlign w:val="center"/>
          </w:tcPr>
          <w:p w14:paraId="0503E08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24</w:t>
            </w:r>
          </w:p>
        </w:tc>
        <w:tc>
          <w:tcPr>
            <w:tcW w:w="1054" w:type="pct"/>
            <w:gridSpan w:val="2"/>
            <w:vMerge w:val="restart"/>
            <w:noWrap/>
            <w:vAlign w:val="center"/>
          </w:tcPr>
          <w:p w14:paraId="0A32034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基金会公布虚假信息。</w:t>
            </w:r>
          </w:p>
          <w:p w14:paraId="336991E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具体主要有：基金会公布信息失实，存在虚假记载、误导性陈述、重大遗漏的。</w:t>
            </w:r>
          </w:p>
        </w:tc>
        <w:tc>
          <w:tcPr>
            <w:tcW w:w="940" w:type="pct"/>
            <w:vMerge w:val="restart"/>
            <w:noWrap/>
            <w:vAlign w:val="center"/>
          </w:tcPr>
          <w:p w14:paraId="70E2C5D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w:t>
            </w:r>
          </w:p>
          <w:p w14:paraId="448EC15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第二十五条第二款：公募基金会组织募捐，应当向社会公布募得资金后拟开展的公益活动和资金的详细使用计划。</w:t>
            </w:r>
          </w:p>
          <w:p w14:paraId="37D4DA7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第三十条：基金会开展公益资助项目，应当向社会公布所开展的公益资助项目种类以及申请、评审程序。</w:t>
            </w:r>
          </w:p>
          <w:p w14:paraId="7FD6F1B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第三十八条：基金会、境外基金会代表机构应当在通过登记管理机关的年度检查后，将年度工作报告在登记管理机关指定的媒体上公布，接受社会公众的查询、监督。</w:t>
            </w:r>
          </w:p>
        </w:tc>
        <w:tc>
          <w:tcPr>
            <w:tcW w:w="929" w:type="pct"/>
            <w:vMerge w:val="restart"/>
            <w:noWrap/>
            <w:vAlign w:val="center"/>
          </w:tcPr>
          <w:p w14:paraId="22077A9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《基金会管理条例》第四十二条：基金会、基金会分支机构、基金会代表机构或者境外基金会代表机构有下列情形之一的，由登记管理机关给予警告、责令停止活动；情节严重的，可以撤销登记：</w:t>
            </w:r>
          </w:p>
          <w:p w14:paraId="59F2853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2C24788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（六）不履行信息公布义务或者公布虚假信息的；</w:t>
            </w:r>
          </w:p>
        </w:tc>
        <w:tc>
          <w:tcPr>
            <w:tcW w:w="237" w:type="pct"/>
            <w:noWrap/>
            <w:vAlign w:val="center"/>
          </w:tcPr>
          <w:p w14:paraId="59BA85B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77FD271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经责令及时改正，未造成不良后果或影响。</w:t>
            </w:r>
          </w:p>
        </w:tc>
        <w:tc>
          <w:tcPr>
            <w:tcW w:w="612" w:type="pct"/>
            <w:noWrap/>
            <w:vAlign w:val="center"/>
          </w:tcPr>
          <w:p w14:paraId="3E5D0C3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499AB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11DE4DF1">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043D00B">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5885C35A">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1B9F030">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2332F7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203ABC0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造成一定的不良后果或影响。</w:t>
            </w:r>
          </w:p>
        </w:tc>
        <w:tc>
          <w:tcPr>
            <w:tcW w:w="612" w:type="pct"/>
            <w:noWrap/>
            <w:vAlign w:val="center"/>
          </w:tcPr>
          <w:p w14:paraId="3D7689B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责令限期停止活动三到六个月。</w:t>
            </w:r>
          </w:p>
        </w:tc>
      </w:tr>
      <w:tr w14:paraId="4AC51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195D98AF">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20BCDC2F">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4F51C6E4">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59BF6F2">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03F1B8F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5F2C99D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违法行为符合一般条件，且具有以下情形之一：</w:t>
            </w:r>
          </w:p>
          <w:p w14:paraId="7755321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1.责令改正拒不改正；</w:t>
            </w:r>
          </w:p>
          <w:p w14:paraId="752DC9B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2.违法行为造成严重影响。</w:t>
            </w:r>
          </w:p>
        </w:tc>
        <w:tc>
          <w:tcPr>
            <w:tcW w:w="612" w:type="pct"/>
            <w:noWrap/>
            <w:vAlign w:val="center"/>
          </w:tcPr>
          <w:p w14:paraId="3747D09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w:t>
            </w:r>
          </w:p>
        </w:tc>
      </w:tr>
      <w:tr w14:paraId="2741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exact"/>
          <w:jc w:val="center"/>
        </w:trPr>
        <w:tc>
          <w:tcPr>
            <w:tcW w:w="5000" w:type="pct"/>
            <w:gridSpan w:val="8"/>
            <w:noWrap/>
            <w:vAlign w:val="center"/>
          </w:tcPr>
          <w:p w14:paraId="3458E443">
            <w:pPr>
              <w:adjustRightInd w:val="0"/>
              <w:snapToGrid w:val="0"/>
              <w:rPr>
                <w:rFonts w:ascii="黑体" w:hAnsi="黑体" w:eastAsia="黑体" w:cs="宋体"/>
                <w:color w:val="000000" w:themeColor="text1"/>
                <w:kern w:val="0"/>
                <w:sz w:val="21"/>
                <w:szCs w:val="21"/>
                <w14:textFill>
                  <w14:solidFill>
                    <w14:schemeClr w14:val="tx1"/>
                  </w14:solidFill>
                </w14:textFill>
              </w:rPr>
            </w:pPr>
            <w:r>
              <w:rPr>
                <w:rFonts w:hint="eastAsia" w:ascii="黑体" w:hAnsi="黑体" w:eastAsia="黑体" w:cs="宋体"/>
                <w:color w:val="000000" w:themeColor="text1"/>
                <w:kern w:val="0"/>
                <w:sz w:val="21"/>
                <w:szCs w:val="21"/>
                <w14:textFill>
                  <w14:solidFill>
                    <w14:schemeClr w14:val="tx1"/>
                  </w14:solidFill>
                </w14:textFill>
              </w:rPr>
              <w:t>三、民办非企业单位登记管理工作</w:t>
            </w:r>
          </w:p>
        </w:tc>
      </w:tr>
      <w:tr w14:paraId="22E6E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30" w:hRule="exact"/>
          <w:jc w:val="center"/>
        </w:trPr>
        <w:tc>
          <w:tcPr>
            <w:tcW w:w="197" w:type="pct"/>
            <w:vMerge w:val="restart"/>
            <w:noWrap/>
            <w:vAlign w:val="center"/>
          </w:tcPr>
          <w:p w14:paraId="546A68E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25</w:t>
            </w:r>
          </w:p>
        </w:tc>
        <w:tc>
          <w:tcPr>
            <w:tcW w:w="1054" w:type="pct"/>
            <w:gridSpan w:val="2"/>
            <w:vMerge w:val="restart"/>
            <w:noWrap/>
            <w:vAlign w:val="center"/>
          </w:tcPr>
          <w:p w14:paraId="10F6DD0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民办非企业单位涂改、出租、出借民办非企业单位登记证书。</w:t>
            </w:r>
          </w:p>
          <w:p w14:paraId="748B156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具体主要有：</w:t>
            </w:r>
          </w:p>
          <w:p w14:paraId="72587EF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1.民办非企业单位涂改民办非企业单位登记证书（名称、业务范围、法定代表人或负责人、住所、开办资金、业务主管单位、有效期限、统一社会信用代码、发证机关、发证日期、年检记录等）的；</w:t>
            </w:r>
          </w:p>
          <w:p w14:paraId="48C93EA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2.民办非企业单位出租民办非企业单位登记证书的；</w:t>
            </w:r>
          </w:p>
          <w:p w14:paraId="482CD6B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3.民办非企业单位出借民办非企业单位登记证书的。</w:t>
            </w:r>
          </w:p>
          <w:p w14:paraId="07B8690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4.民办非企业单位出租民办非企业单位印章的；</w:t>
            </w:r>
          </w:p>
          <w:p w14:paraId="570A684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5.民办非企业单位出借民办非企业单位印章的。</w:t>
            </w:r>
          </w:p>
        </w:tc>
        <w:tc>
          <w:tcPr>
            <w:tcW w:w="940" w:type="pct"/>
            <w:vMerge w:val="restart"/>
            <w:noWrap/>
            <w:vAlign w:val="center"/>
          </w:tcPr>
          <w:p w14:paraId="080F106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《民办非企业单位登记管理暂行条例》第二十五条：民办非企业单位有下列情形之一的，由登记管理机关予以警告，责令改正，可以限期停止活动；情节严重的，予以撤销登记；构成犯罪的，依法追究刑事责任：</w:t>
            </w:r>
          </w:p>
          <w:p w14:paraId="18A5A1A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（一）涂改、出租、出借民办非企业单位登记证书，或者出租、出借民办非企业单位印章的；</w:t>
            </w:r>
          </w:p>
          <w:p w14:paraId="16523B4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2CA635B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929" w:type="pct"/>
            <w:vMerge w:val="restart"/>
            <w:noWrap/>
            <w:vAlign w:val="center"/>
          </w:tcPr>
          <w:p w14:paraId="4957B52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《民办非企业单位登记管理暂行条例》第二十五条：民办非企业单位有下列情形之一的，由登记管理机关予以警告，责令改正，可以限期停止活动；情节严重的，予以撤销登记；构成犯罪的，依法追究刑事责任：</w:t>
            </w:r>
          </w:p>
          <w:p w14:paraId="614B780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（一）涂改、出租、出借民办非企业单位登记证书，或者出租、出借民办非企业单位印章的；</w:t>
            </w:r>
          </w:p>
          <w:p w14:paraId="33E7C3F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4F5611A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10D5B48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38B9E11F">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4E6F283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1.涂改、出租、出借《民办非企业单位法人登记证书》，或者出租、出借民办非企业单位印章，造成社会不良影响较小；</w:t>
            </w:r>
          </w:p>
          <w:p w14:paraId="6645232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2.违法行为持续时间6个月以下；</w:t>
            </w:r>
          </w:p>
          <w:p w14:paraId="41305C9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3.违法经营额或者违法所得5万元以下；</w:t>
            </w:r>
          </w:p>
          <w:p w14:paraId="31416AD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4.具有其他情节较轻情形。</w:t>
            </w:r>
          </w:p>
        </w:tc>
        <w:tc>
          <w:tcPr>
            <w:tcW w:w="612" w:type="pct"/>
            <w:noWrap/>
            <w:vAlign w:val="center"/>
          </w:tcPr>
          <w:p w14:paraId="789414A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警告。没收违法经营额或者违法所得。</w:t>
            </w:r>
          </w:p>
        </w:tc>
      </w:tr>
      <w:tr w14:paraId="7688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298" w:hRule="exact"/>
          <w:jc w:val="center"/>
        </w:trPr>
        <w:tc>
          <w:tcPr>
            <w:tcW w:w="197" w:type="pct"/>
            <w:vMerge w:val="continue"/>
            <w:vAlign w:val="center"/>
          </w:tcPr>
          <w:p w14:paraId="31CE8CFD">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0AB2A7C0">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16E46CCF">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4324ED6">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6ED02F8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1230628A">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440FA08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1.涂改、出租、出借《民办非企业单位法人登记证书》，或者出租、出借民办非企业单位印章，造成较大社会不良影响；</w:t>
            </w:r>
          </w:p>
          <w:p w14:paraId="4B982CB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2.违法行为持续时间6个月以上1年以下，或者有2次以上4次以下违法行为；</w:t>
            </w:r>
          </w:p>
          <w:p w14:paraId="74E345B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3.违法经营额或者违法所得5万元以上20万元以下；</w:t>
            </w:r>
          </w:p>
          <w:p w14:paraId="1A6AC1F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4.具有其他情节较重情形。</w:t>
            </w:r>
          </w:p>
        </w:tc>
        <w:tc>
          <w:tcPr>
            <w:tcW w:w="612" w:type="pct"/>
            <w:noWrap/>
            <w:vAlign w:val="center"/>
          </w:tcPr>
          <w:p w14:paraId="1B20FC6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责令限期停止活动（1至6个月）。没收违法经营额或者违法所得，可以并处违法经营额1倍以上2倍以下罚款或者违法所得3倍以上4倍以下罚款。</w:t>
            </w:r>
          </w:p>
        </w:tc>
      </w:tr>
      <w:tr w14:paraId="5193A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149" w:hRule="exact"/>
          <w:jc w:val="center"/>
        </w:trPr>
        <w:tc>
          <w:tcPr>
            <w:tcW w:w="197" w:type="pct"/>
            <w:shd w:val="clear" w:color="auto" w:fill="auto"/>
            <w:noWrap/>
            <w:vAlign w:val="center"/>
          </w:tcPr>
          <w:p w14:paraId="794CD2A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25</w:t>
            </w:r>
          </w:p>
        </w:tc>
        <w:tc>
          <w:tcPr>
            <w:tcW w:w="1054" w:type="pct"/>
            <w:gridSpan w:val="2"/>
            <w:shd w:val="clear" w:color="auto" w:fill="auto"/>
            <w:noWrap/>
            <w:vAlign w:val="center"/>
          </w:tcPr>
          <w:p w14:paraId="2DE1E3D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民办非企业单位涂改、出租、出借民办非企业单位登记证书。</w:t>
            </w:r>
          </w:p>
          <w:p w14:paraId="76801B6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具体主要有：</w:t>
            </w:r>
          </w:p>
          <w:p w14:paraId="5628232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1.民办非企业单位涂改民办非企业单位登记证书（名称、业务范围、法定代表人或负责人、住所、开办资金、业务主管单位、有效期限、统一社会信用代码、发证机关、发证日期、年检记录等）的；</w:t>
            </w:r>
          </w:p>
          <w:p w14:paraId="1422905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2.民办非企业单位出租民办非企业单位登记证书的；</w:t>
            </w:r>
          </w:p>
          <w:p w14:paraId="5833B93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3.民办非企业单位出借民办非企业单位登记证书的。</w:t>
            </w:r>
          </w:p>
          <w:p w14:paraId="4656B82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4.民办非企业单位出租民办非企业单位印章的；</w:t>
            </w:r>
          </w:p>
          <w:p w14:paraId="0042EB4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5.民办非企业单位出借民办非企业单位印章的。</w:t>
            </w:r>
          </w:p>
        </w:tc>
        <w:tc>
          <w:tcPr>
            <w:tcW w:w="940" w:type="pct"/>
            <w:shd w:val="clear" w:color="auto" w:fill="auto"/>
            <w:noWrap/>
            <w:vAlign w:val="center"/>
          </w:tcPr>
          <w:p w14:paraId="7B322F6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《民办非企业单位登记管理暂行条例》第二十五条：民办非企业单位有下列情形之一的，由登记管理机关予以警告，责令改正，可以限期停止活动；情节严重的，予以撤销登记；构成犯罪的，依法追究刑事责任：</w:t>
            </w:r>
          </w:p>
          <w:p w14:paraId="1119F1B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（一）涂改、出租、出借民办非企业单位登记证书，或者出租、出借民办非企业单位印章的；</w:t>
            </w:r>
          </w:p>
          <w:p w14:paraId="2F22F2B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6D7393B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929" w:type="pct"/>
            <w:shd w:val="clear" w:color="auto" w:fill="auto"/>
            <w:noWrap/>
            <w:vAlign w:val="center"/>
          </w:tcPr>
          <w:p w14:paraId="041A016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《民办非企业单位登记管理暂行条例》第二十五条：民办非企业单位有下列情形之一的，由登记管理机关予以警告，责令改正，可以限期停止活动；情节严重的，予以撤销登记；构成犯罪的，依法追究刑事责任：</w:t>
            </w:r>
          </w:p>
          <w:p w14:paraId="7D8E3F4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（一）涂改、出租、出借民办非企业单位登记证书，或者出租、出借民办非企业单位印章的；</w:t>
            </w:r>
          </w:p>
          <w:p w14:paraId="5E6E393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5F9B6A3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shd w:val="clear" w:color="auto" w:fill="auto"/>
            <w:noWrap/>
            <w:vAlign w:val="center"/>
          </w:tcPr>
          <w:p w14:paraId="219AD32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shd w:val="clear" w:color="auto" w:fill="auto"/>
            <w:noWrap/>
            <w:vAlign w:val="center"/>
          </w:tcPr>
          <w:p w14:paraId="526F600A">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44902CF5">
            <w:pPr>
              <w:adjustRightInd w:val="0"/>
              <w:snapToGrid w:val="0"/>
              <w:rPr>
                <w:rFonts w:hAnsi="宋体" w:cs="宋体"/>
                <w:kern w:val="0"/>
                <w:sz w:val="21"/>
                <w:szCs w:val="21"/>
              </w:rPr>
            </w:pPr>
            <w:r>
              <w:rPr>
                <w:rFonts w:hint="eastAsia" w:hAnsi="宋体" w:cs="宋体"/>
                <w:kern w:val="0"/>
                <w:sz w:val="21"/>
                <w:szCs w:val="21"/>
              </w:rPr>
              <w:t>1.涂改、出租、出借《民办非企业单位法人登记证书》，或者出租、出借民办非企业单位印章，造成严重社会不良影响；</w:t>
            </w:r>
          </w:p>
          <w:p w14:paraId="7D92720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2.违法行为持续时间1年以上，或者有4次以上违法行为；</w:t>
            </w:r>
          </w:p>
          <w:p w14:paraId="1E4C067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3.违法经营额或者违法所得20万元以上；</w:t>
            </w:r>
          </w:p>
          <w:p w14:paraId="2A14F66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4.2年内曾因涂改、出租、出借《民办非企业单位法人登记证书》或者出租、出借民办非企业单位印章，受到过行政处罚，经责令改正后拒不改正；</w:t>
            </w:r>
          </w:p>
          <w:p w14:paraId="78E4F9B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5.有其他情节严重情形。</w:t>
            </w:r>
          </w:p>
        </w:tc>
        <w:tc>
          <w:tcPr>
            <w:tcW w:w="612" w:type="pct"/>
            <w:shd w:val="clear" w:color="auto" w:fill="auto"/>
            <w:noWrap/>
            <w:vAlign w:val="center"/>
          </w:tcPr>
          <w:p w14:paraId="7DD4766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撤销登记。没收违法经营额或违法所得，可以并处违法经营额2倍以上3倍以下罚款或者违法所得4倍以上5倍以下罚款</w:t>
            </w:r>
          </w:p>
        </w:tc>
      </w:tr>
      <w:tr w14:paraId="4471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547" w:hRule="exact"/>
          <w:jc w:val="center"/>
        </w:trPr>
        <w:tc>
          <w:tcPr>
            <w:tcW w:w="197" w:type="pct"/>
            <w:vMerge w:val="restart"/>
            <w:noWrap/>
            <w:vAlign w:val="center"/>
          </w:tcPr>
          <w:p w14:paraId="59EC632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26</w:t>
            </w:r>
          </w:p>
        </w:tc>
        <w:tc>
          <w:tcPr>
            <w:tcW w:w="1054" w:type="pct"/>
            <w:gridSpan w:val="2"/>
            <w:vMerge w:val="restart"/>
            <w:noWrap/>
            <w:vAlign w:val="center"/>
          </w:tcPr>
          <w:p w14:paraId="07558DF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民办非企业单位超出其章程规定的宗旨和业务范围进行活动。</w:t>
            </w:r>
          </w:p>
        </w:tc>
        <w:tc>
          <w:tcPr>
            <w:tcW w:w="940" w:type="pct"/>
            <w:vMerge w:val="restart"/>
            <w:noWrap/>
            <w:vAlign w:val="center"/>
          </w:tcPr>
          <w:p w14:paraId="715A993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《民办非企业单位登记管理暂行条例》第二十条第二款：业务主管单位履行下列监督管理职责：</w:t>
            </w:r>
          </w:p>
          <w:p w14:paraId="652AD7F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9B9F6E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（二）监督、指导民办非企业单位遵守宪法、法律、法规和国家政策，按照章程开展活动；</w:t>
            </w:r>
          </w:p>
        </w:tc>
        <w:tc>
          <w:tcPr>
            <w:tcW w:w="929" w:type="pct"/>
            <w:vMerge w:val="restart"/>
            <w:noWrap/>
            <w:vAlign w:val="center"/>
          </w:tcPr>
          <w:p w14:paraId="1ADB6F6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《民办非企业单位登记管理暂行条例》第二十五条：民办非企业单位有下列情形之一的，由登记管理机关予以警告，责令改正，可以限期停止活动；情节严重的，予以撤销登记；构成犯罪的，依法追究刑事责任：</w:t>
            </w:r>
          </w:p>
          <w:p w14:paraId="0A39A99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4D40C51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（二）超出其章程规定的宗旨和业务范围进行活动的；</w:t>
            </w:r>
          </w:p>
          <w:p w14:paraId="6DFF303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3D37B08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25DC93A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6191E64F">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3F5E932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1.超出章程规定的宗旨和业务范围进行活动1次，或持续时间6个月以下；</w:t>
            </w:r>
          </w:p>
          <w:p w14:paraId="52DF502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2.违法经营额或者违法所得10万元以下；</w:t>
            </w:r>
          </w:p>
          <w:p w14:paraId="6F2D6F1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3.社会不良影响较小，或者具有其他情节较轻情形。</w:t>
            </w:r>
          </w:p>
        </w:tc>
        <w:tc>
          <w:tcPr>
            <w:tcW w:w="612" w:type="pct"/>
            <w:noWrap/>
            <w:vAlign w:val="center"/>
          </w:tcPr>
          <w:p w14:paraId="21FE0ED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警告。没收违法经营额或者违法所得。</w:t>
            </w:r>
          </w:p>
        </w:tc>
      </w:tr>
      <w:tr w14:paraId="07E0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7" w:hRule="exact"/>
          <w:jc w:val="center"/>
        </w:trPr>
        <w:tc>
          <w:tcPr>
            <w:tcW w:w="197" w:type="pct"/>
            <w:vMerge w:val="continue"/>
            <w:vAlign w:val="center"/>
          </w:tcPr>
          <w:p w14:paraId="1655698D">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0F0452FF">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651D4CC1">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0FCF028D">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2605D5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0FE10470">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07EA8D2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1.超出章程规定的宗旨和业务范围进行活动2次，或持续时间6个月以上1年以下；</w:t>
            </w:r>
          </w:p>
          <w:p w14:paraId="2CE5384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2.违法经营额或者违法所得10万元以上50万元以下；</w:t>
            </w:r>
          </w:p>
          <w:p w14:paraId="7888650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3.造成较大社会不良影响，或者有其他情节较重情形。</w:t>
            </w:r>
          </w:p>
        </w:tc>
        <w:tc>
          <w:tcPr>
            <w:tcW w:w="612" w:type="pct"/>
            <w:noWrap/>
            <w:vAlign w:val="center"/>
          </w:tcPr>
          <w:p w14:paraId="308B554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责令限期停止活动（1至6个月）。没收违法经营额或者违法所得，可以并处违法经营额1倍以上2倍以下罚款或者违法所得3倍以上4倍以下罚款。</w:t>
            </w:r>
          </w:p>
        </w:tc>
      </w:tr>
      <w:tr w14:paraId="421A7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059" w:hRule="exact"/>
          <w:jc w:val="center"/>
        </w:trPr>
        <w:tc>
          <w:tcPr>
            <w:tcW w:w="197" w:type="pct"/>
            <w:shd w:val="clear" w:color="auto" w:fill="auto"/>
            <w:noWrap/>
            <w:vAlign w:val="center"/>
          </w:tcPr>
          <w:p w14:paraId="14FF405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26</w:t>
            </w:r>
          </w:p>
        </w:tc>
        <w:tc>
          <w:tcPr>
            <w:tcW w:w="1054" w:type="pct"/>
            <w:gridSpan w:val="2"/>
            <w:shd w:val="clear" w:color="auto" w:fill="auto"/>
            <w:noWrap/>
            <w:vAlign w:val="center"/>
          </w:tcPr>
          <w:p w14:paraId="432DC81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民办非企业单位超出其章程规定的宗旨和业务范围进行活动。</w:t>
            </w:r>
          </w:p>
        </w:tc>
        <w:tc>
          <w:tcPr>
            <w:tcW w:w="940" w:type="pct"/>
            <w:shd w:val="clear" w:color="auto" w:fill="auto"/>
            <w:noWrap/>
            <w:vAlign w:val="center"/>
          </w:tcPr>
          <w:p w14:paraId="69252BE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《民办非企业单位登记管理暂行条例》第二十条第二款：业务主管单位履行下列监督管理职责：</w:t>
            </w:r>
          </w:p>
          <w:p w14:paraId="2D03787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5F32E26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（二）监督、指导民办非企业单位遵守宪法、法律、法规和国家政策，按照章程开展活动；</w:t>
            </w:r>
          </w:p>
        </w:tc>
        <w:tc>
          <w:tcPr>
            <w:tcW w:w="929" w:type="pct"/>
            <w:shd w:val="clear" w:color="auto" w:fill="auto"/>
            <w:noWrap/>
            <w:vAlign w:val="center"/>
          </w:tcPr>
          <w:p w14:paraId="65257B2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《民办非企业单位登记管理暂行条例》第二十五条：民办非企业单位有下列情形之一的，由登记管理机关予以警告，责令改正，可以限期停止活动；情节严重的，予以撤销登记；构成犯罪的，依法追究刑事责任：</w:t>
            </w:r>
          </w:p>
          <w:p w14:paraId="1773470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33DB7C3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（二）超出其章程规定的宗旨和业务范围进行活动的；</w:t>
            </w:r>
          </w:p>
          <w:p w14:paraId="298EEDD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0180282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shd w:val="clear" w:color="auto" w:fill="auto"/>
            <w:noWrap/>
            <w:vAlign w:val="center"/>
          </w:tcPr>
          <w:p w14:paraId="048C5B7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shd w:val="clear" w:color="auto" w:fill="auto"/>
            <w:noWrap/>
            <w:vAlign w:val="center"/>
          </w:tcPr>
          <w:p w14:paraId="28E715B5">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7865BB4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1.超出章程规定的宗旨和业务范围进行活动2次以上，或持续时间1年以上；</w:t>
            </w:r>
          </w:p>
          <w:p w14:paraId="7F7A20B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2.违法经营额或者违法所得50万元以上；</w:t>
            </w:r>
          </w:p>
          <w:p w14:paraId="480289C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3.2年内曾因超出章程规定的宗旨和业务范围进行活动受到行政处罚，经责令改正后拒不改正；</w:t>
            </w:r>
          </w:p>
          <w:p w14:paraId="2A84EEF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4.造成严重社会不良影响，或者有其他情节严重情形。</w:t>
            </w:r>
          </w:p>
        </w:tc>
        <w:tc>
          <w:tcPr>
            <w:tcW w:w="612" w:type="pct"/>
            <w:shd w:val="clear" w:color="auto" w:fill="auto"/>
            <w:noWrap/>
            <w:vAlign w:val="center"/>
          </w:tcPr>
          <w:p w14:paraId="1E31943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撤销登记。没收违法经营额或违法所得，并处违法经营额2倍以上3倍以下罚款或违法所得4倍以上5倍以下罚款。</w:t>
            </w:r>
          </w:p>
        </w:tc>
      </w:tr>
      <w:tr w14:paraId="2416B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299" w:hRule="exact"/>
          <w:jc w:val="center"/>
        </w:trPr>
        <w:tc>
          <w:tcPr>
            <w:tcW w:w="197" w:type="pct"/>
            <w:vMerge w:val="restart"/>
            <w:noWrap/>
            <w:vAlign w:val="center"/>
          </w:tcPr>
          <w:p w14:paraId="22EDE72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27</w:t>
            </w:r>
          </w:p>
        </w:tc>
        <w:tc>
          <w:tcPr>
            <w:tcW w:w="1054" w:type="pct"/>
            <w:gridSpan w:val="2"/>
            <w:vMerge w:val="restart"/>
            <w:noWrap/>
            <w:vAlign w:val="center"/>
          </w:tcPr>
          <w:p w14:paraId="4483F27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民办非企业单位拒不接受或不按照规定接受监督检查。</w:t>
            </w:r>
          </w:p>
        </w:tc>
        <w:tc>
          <w:tcPr>
            <w:tcW w:w="940" w:type="pct"/>
            <w:vMerge w:val="restart"/>
            <w:noWrap/>
            <w:vAlign w:val="center"/>
          </w:tcPr>
          <w:p w14:paraId="2FDCFE5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民办非企业单位登记管理暂行条例》第二十三条：民办非企业单位应当于每年3月31日前向业务主管单位报送上一年度的工作报告。经业务主管单位初审同意后，于5月31日前报送登记管理机关，接受年度检查。工作报告内容包括：本民办非企业单位遵守法律法规和国家政策的情况、依照本条例履行登记手续的情况、按照章程开展活动的情况、人员和机构变动的情况以及财务管理的情况。</w:t>
            </w:r>
          </w:p>
          <w:p w14:paraId="062BB7E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对于依照本条例第十二条：第二款的规定发给登记证书的民办非企业单位，登记管理机关对其应当简化年度检查的内容。</w:t>
            </w:r>
          </w:p>
          <w:p w14:paraId="65B7F34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民办非企业单位年度检查办法》第三条：经登记管理机关核准登记的民办非企业单位，应当按照本办法的规定，接受登记管理机关的年检。截至上年度12月31日，成立登记时间未超过6个月的民办非企业单位，不参加当年的年检。</w:t>
            </w:r>
          </w:p>
        </w:tc>
        <w:tc>
          <w:tcPr>
            <w:tcW w:w="929" w:type="pct"/>
            <w:vMerge w:val="restart"/>
            <w:noWrap/>
            <w:vAlign w:val="center"/>
          </w:tcPr>
          <w:p w14:paraId="5CB61AE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《民办非企业单位登记管理暂行条例》第二十五条：民办非企业单位有下列情形之一的，由登记管理机关予以警告，责令改正，可以限期停止活动；情节严重的，予以撤销登记；构成犯罪的，依法追究刑事责任：</w:t>
            </w:r>
          </w:p>
          <w:p w14:paraId="12FE969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14FCB48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（三）拒不接受或者不按照规定接受监督检查的；</w:t>
            </w:r>
          </w:p>
          <w:p w14:paraId="15B84A9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06ABCDB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前款规定的行为有违法经营额或者违法所得的，予以没收，可以并处违法经营额1倍以上3倍以下或者违法所得3倍以上6倍以下的罚款。</w:t>
            </w:r>
          </w:p>
        </w:tc>
        <w:tc>
          <w:tcPr>
            <w:tcW w:w="237" w:type="pct"/>
            <w:noWrap/>
            <w:vAlign w:val="center"/>
          </w:tcPr>
          <w:p w14:paraId="7948B61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142A3D56">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70B1721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1.1年不按照规定报送年度检查材料，或在年度检查材料中隐瞒真实情况、弄虚作假；</w:t>
            </w:r>
          </w:p>
          <w:p w14:paraId="19A3946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2.1次不按照规定接受检查、审计等监督检查，社会不良影响较小；</w:t>
            </w:r>
          </w:p>
          <w:p w14:paraId="4B512BF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3.具有其他情节较轻情形。</w:t>
            </w:r>
          </w:p>
        </w:tc>
        <w:tc>
          <w:tcPr>
            <w:tcW w:w="612" w:type="pct"/>
            <w:noWrap/>
            <w:vAlign w:val="center"/>
          </w:tcPr>
          <w:p w14:paraId="7339F8A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0E064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212" w:hRule="exact"/>
          <w:jc w:val="center"/>
        </w:trPr>
        <w:tc>
          <w:tcPr>
            <w:tcW w:w="197" w:type="pct"/>
            <w:vMerge w:val="continue"/>
            <w:vAlign w:val="center"/>
          </w:tcPr>
          <w:p w14:paraId="59724587">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232E87AD">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40EF5996">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D041A77">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6271B21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008C0DEE">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5843743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1.不按照规定接受监督检查，经责令改正不按照规定改正；</w:t>
            </w:r>
          </w:p>
          <w:p w14:paraId="6BA1C0B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2.拒绝、阻挠、妨碍监督检查；</w:t>
            </w:r>
          </w:p>
          <w:p w14:paraId="307E6B7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3.造成较大社会不良影响，或者具有其他情节较重情形。</w:t>
            </w:r>
          </w:p>
        </w:tc>
        <w:tc>
          <w:tcPr>
            <w:tcW w:w="612" w:type="pct"/>
            <w:noWrap/>
            <w:vAlign w:val="center"/>
          </w:tcPr>
          <w:p w14:paraId="4EB2998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w:t>
            </w:r>
          </w:p>
        </w:tc>
      </w:tr>
      <w:tr w14:paraId="2CC6B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52" w:hRule="exact"/>
          <w:jc w:val="center"/>
        </w:trPr>
        <w:tc>
          <w:tcPr>
            <w:tcW w:w="197" w:type="pct"/>
            <w:vMerge w:val="continue"/>
            <w:vAlign w:val="center"/>
          </w:tcPr>
          <w:p w14:paraId="0948BFAF">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331D09E7">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4B2408BC">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18710492">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37ACE4A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0CE1F555">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1B12C04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1.连续2年及以上不按照规定报送年度检查材料，或在年度检查材料中隐瞒真实情况、弄虚作假；</w:t>
            </w:r>
          </w:p>
          <w:p w14:paraId="59978B1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2.拒绝、阻挠、妨碍监督检查，造成严重不良社会影响；</w:t>
            </w:r>
          </w:p>
          <w:p w14:paraId="44CB3EC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3.2年内曾因拒不接受或不按照规定接受监督检查受到过行政处罚，经责令改正后拒不改正；</w:t>
            </w:r>
          </w:p>
          <w:p w14:paraId="3B9D731F">
            <w:pPr>
              <w:spacing w:line="24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4.有其他情节严重情形。</w:t>
            </w:r>
          </w:p>
          <w:p w14:paraId="2C623421">
            <w:pPr>
              <w:adjustRightInd w:val="0"/>
              <w:snapToGrid w:val="0"/>
              <w:spacing w:line="240" w:lineRule="exact"/>
              <w:rPr>
                <w:rFonts w:hAnsi="宋体" w:cs="宋体"/>
                <w:color w:val="000000" w:themeColor="text1"/>
                <w:kern w:val="0"/>
                <w:sz w:val="21"/>
                <w:szCs w:val="21"/>
                <w14:textFill>
                  <w14:solidFill>
                    <w14:schemeClr w14:val="tx1"/>
                  </w14:solidFill>
                </w14:textFill>
              </w:rPr>
            </w:pPr>
          </w:p>
        </w:tc>
        <w:tc>
          <w:tcPr>
            <w:tcW w:w="612" w:type="pct"/>
            <w:noWrap/>
            <w:vAlign w:val="center"/>
          </w:tcPr>
          <w:p w14:paraId="704C4CB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w:t>
            </w:r>
          </w:p>
        </w:tc>
      </w:tr>
      <w:tr w14:paraId="54E4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06" w:hRule="exact"/>
          <w:jc w:val="center"/>
        </w:trPr>
        <w:tc>
          <w:tcPr>
            <w:tcW w:w="197" w:type="pct"/>
            <w:vMerge w:val="restart"/>
            <w:noWrap/>
            <w:vAlign w:val="center"/>
          </w:tcPr>
          <w:p w14:paraId="3B02477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28</w:t>
            </w:r>
          </w:p>
        </w:tc>
        <w:tc>
          <w:tcPr>
            <w:tcW w:w="1054" w:type="pct"/>
            <w:gridSpan w:val="2"/>
            <w:vMerge w:val="restart"/>
            <w:noWrap/>
            <w:vAlign w:val="center"/>
          </w:tcPr>
          <w:p w14:paraId="173A416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民办非企业单位不按照规定办理变更登记。</w:t>
            </w:r>
          </w:p>
          <w:p w14:paraId="0FB4210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具体主要有：不按照规定办理下列事项的变更：民办非企业单位名称、住所、法定代表人或负责人、业务范围、开办资金、业务主管单位等。</w:t>
            </w:r>
          </w:p>
        </w:tc>
        <w:tc>
          <w:tcPr>
            <w:tcW w:w="940" w:type="pct"/>
            <w:vMerge w:val="restart"/>
            <w:noWrap/>
            <w:vAlign w:val="center"/>
          </w:tcPr>
          <w:p w14:paraId="73BA18F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十五条：民办非企业单位的登记事项需要变更的，应当自业务主管单位审查同意之日起30日内，向登记管理机关申请变更登记。民办非企业单位修改章程，应当自业务主管单位审查同意之日起30日内，报登记管理机关核准。</w:t>
            </w:r>
          </w:p>
        </w:tc>
        <w:tc>
          <w:tcPr>
            <w:tcW w:w="929" w:type="pct"/>
            <w:vMerge w:val="restart"/>
            <w:noWrap/>
            <w:vAlign w:val="center"/>
          </w:tcPr>
          <w:p w14:paraId="376EB85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《民办非企业单位登记管理暂行条例》第二十五条：民办非企业单位有下列情形之一的，由登记管理机关予以警告，责令改正，可以限期停止活动；情节严重的，予以撤销登记；构成犯罪的，依法追究刑事责任：</w:t>
            </w:r>
          </w:p>
          <w:p w14:paraId="2F321E3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04B983F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（四）不按照规定办理变更登记的；</w:t>
            </w:r>
          </w:p>
          <w:p w14:paraId="2701442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41FC28C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7BA2466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0F6F06B2">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23BA66D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1.不按照规定变更登记，造成一定社会不良影响；</w:t>
            </w:r>
          </w:p>
          <w:p w14:paraId="46245FD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2.具有其他情节较轻情形。</w:t>
            </w:r>
          </w:p>
        </w:tc>
        <w:tc>
          <w:tcPr>
            <w:tcW w:w="612" w:type="pct"/>
            <w:noWrap/>
            <w:vAlign w:val="center"/>
          </w:tcPr>
          <w:p w14:paraId="194D35F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3C98C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91" w:hRule="exact"/>
          <w:jc w:val="center"/>
        </w:trPr>
        <w:tc>
          <w:tcPr>
            <w:tcW w:w="197" w:type="pct"/>
            <w:vMerge w:val="continue"/>
            <w:vAlign w:val="center"/>
          </w:tcPr>
          <w:p w14:paraId="0389B739">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072F6DEE">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5A6F07E7">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F79750E">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884878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4FF09AC9">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73FAEF8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1.不按照规定变更登记，造成较大不良社会影响；</w:t>
            </w:r>
          </w:p>
          <w:p w14:paraId="354F309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2.经责令限期改正，3个月内未改正；</w:t>
            </w:r>
          </w:p>
          <w:p w14:paraId="33E9BB6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3.有其他情节较重情形。</w:t>
            </w:r>
          </w:p>
        </w:tc>
        <w:tc>
          <w:tcPr>
            <w:tcW w:w="612" w:type="pct"/>
            <w:noWrap/>
            <w:vAlign w:val="center"/>
          </w:tcPr>
          <w:p w14:paraId="40387FD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w:t>
            </w:r>
          </w:p>
        </w:tc>
      </w:tr>
      <w:tr w14:paraId="57DB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046" w:hRule="exact"/>
          <w:jc w:val="center"/>
        </w:trPr>
        <w:tc>
          <w:tcPr>
            <w:tcW w:w="197" w:type="pct"/>
            <w:vMerge w:val="continue"/>
            <w:vAlign w:val="center"/>
          </w:tcPr>
          <w:p w14:paraId="0757383C">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505D10D7">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B935BA0">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2364774">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011E113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70745D55">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780D051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1.不按照规定变更登记，造成严重不良社会影响；</w:t>
            </w:r>
          </w:p>
          <w:p w14:paraId="4533801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2.经责令限期改正，6个月内未改正；</w:t>
            </w:r>
          </w:p>
          <w:p w14:paraId="31A4D5D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3.有其他情节严重情形。</w:t>
            </w:r>
          </w:p>
        </w:tc>
        <w:tc>
          <w:tcPr>
            <w:tcW w:w="612" w:type="pct"/>
            <w:noWrap/>
            <w:vAlign w:val="center"/>
          </w:tcPr>
          <w:p w14:paraId="6E538C6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w:t>
            </w:r>
          </w:p>
        </w:tc>
      </w:tr>
      <w:tr w14:paraId="6FDA9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27" w:hRule="exact"/>
          <w:jc w:val="center"/>
        </w:trPr>
        <w:tc>
          <w:tcPr>
            <w:tcW w:w="197" w:type="pct"/>
            <w:vMerge w:val="restart"/>
            <w:noWrap/>
            <w:vAlign w:val="center"/>
          </w:tcPr>
          <w:p w14:paraId="368F568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29</w:t>
            </w:r>
          </w:p>
        </w:tc>
        <w:tc>
          <w:tcPr>
            <w:tcW w:w="1054" w:type="pct"/>
            <w:gridSpan w:val="2"/>
            <w:vMerge w:val="restart"/>
            <w:noWrap/>
            <w:vAlign w:val="center"/>
          </w:tcPr>
          <w:p w14:paraId="4CED732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民办非企业单位设立分支机构。</w:t>
            </w:r>
          </w:p>
        </w:tc>
        <w:tc>
          <w:tcPr>
            <w:tcW w:w="940" w:type="pct"/>
            <w:vMerge w:val="restart"/>
            <w:noWrap/>
            <w:vAlign w:val="center"/>
          </w:tcPr>
          <w:p w14:paraId="31FC67D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《民办非企业单位登记管理暂行条例》第十三条：民办非企业单位不得设立分支机构。</w:t>
            </w:r>
          </w:p>
        </w:tc>
        <w:tc>
          <w:tcPr>
            <w:tcW w:w="929" w:type="pct"/>
            <w:vMerge w:val="restart"/>
            <w:noWrap/>
            <w:vAlign w:val="center"/>
          </w:tcPr>
          <w:p w14:paraId="34D5A65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《民办非企业单位登记管理暂行条例》第二十五条：民办非企业单位有下列情形之一的，由登记管理机关予以警告，责令改正，可以限期停止活动；情节严重的，予以撤销登记；构成犯罪的，依法追究刑事责任：</w:t>
            </w:r>
          </w:p>
          <w:p w14:paraId="5EF1C25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40922CC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（五）设立分支机构的；</w:t>
            </w:r>
          </w:p>
          <w:p w14:paraId="122B400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0B408F7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671" w:type="dxa"/>
            <w:noWrap/>
            <w:vAlign w:val="center"/>
          </w:tcPr>
          <w:p w14:paraId="784DA662">
            <w:pPr>
              <w:adjustRightInd w:val="0"/>
              <w:snapToGrid w:val="0"/>
              <w:jc w:val="center"/>
              <w:rPr>
                <w:rFonts w:hAnsi="宋体" w:cs="宋体"/>
                <w:kern w:val="0"/>
                <w:sz w:val="21"/>
                <w:szCs w:val="21"/>
              </w:rPr>
            </w:pPr>
            <w:r>
              <w:rPr>
                <w:rFonts w:hint="eastAsia" w:hAnsi="宋体" w:cs="宋体"/>
                <w:kern w:val="0"/>
                <w:sz w:val="21"/>
                <w:szCs w:val="21"/>
              </w:rPr>
              <w:t>从轻处罚</w:t>
            </w:r>
          </w:p>
        </w:tc>
        <w:tc>
          <w:tcPr>
            <w:tcW w:w="2908" w:type="dxa"/>
            <w:noWrap/>
            <w:vAlign w:val="center"/>
          </w:tcPr>
          <w:p w14:paraId="4FBCD90A">
            <w:pPr>
              <w:adjustRightInd w:val="0"/>
              <w:snapToGrid w:val="0"/>
              <w:rPr>
                <w:rFonts w:hAnsi="宋体" w:cs="宋体"/>
                <w:kern w:val="0"/>
                <w:sz w:val="21"/>
                <w:szCs w:val="21"/>
              </w:rPr>
            </w:pPr>
            <w:r>
              <w:rPr>
                <w:rFonts w:hAnsi="宋体" w:cs="宋体"/>
                <w:kern w:val="0"/>
                <w:sz w:val="21"/>
                <w:szCs w:val="21"/>
              </w:rPr>
              <w:t>具有以下情形之一</w:t>
            </w:r>
            <w:r>
              <w:rPr>
                <w:rFonts w:hint="eastAsia" w:hAnsi="宋体" w:cs="宋体"/>
                <w:kern w:val="0"/>
                <w:sz w:val="21"/>
                <w:szCs w:val="21"/>
              </w:rPr>
              <w:t>：</w:t>
            </w:r>
          </w:p>
          <w:p w14:paraId="5DDC6807">
            <w:pPr>
              <w:adjustRightInd w:val="0"/>
              <w:snapToGrid w:val="0"/>
              <w:rPr>
                <w:rFonts w:hAnsi="宋体" w:cs="宋体"/>
                <w:kern w:val="0"/>
                <w:sz w:val="21"/>
                <w:szCs w:val="21"/>
              </w:rPr>
            </w:pPr>
            <w:r>
              <w:rPr>
                <w:rFonts w:hint="eastAsia" w:hAnsi="宋体" w:cs="宋体"/>
                <w:kern w:val="0"/>
                <w:sz w:val="21"/>
                <w:szCs w:val="21"/>
              </w:rPr>
              <w:t>1.擅自设立分支机构1个；</w:t>
            </w:r>
          </w:p>
          <w:p w14:paraId="2EE2CFA3">
            <w:pPr>
              <w:adjustRightInd w:val="0"/>
              <w:snapToGrid w:val="0"/>
              <w:rPr>
                <w:rFonts w:hAnsi="宋体" w:cs="宋体"/>
                <w:kern w:val="0"/>
                <w:sz w:val="21"/>
                <w:szCs w:val="21"/>
              </w:rPr>
            </w:pPr>
            <w:r>
              <w:rPr>
                <w:rFonts w:hint="eastAsia" w:hAnsi="宋体" w:cs="宋体"/>
                <w:kern w:val="0"/>
                <w:sz w:val="21"/>
                <w:szCs w:val="21"/>
              </w:rPr>
              <w:t>2.违法经营额或者违法所得5万元以下；</w:t>
            </w:r>
          </w:p>
          <w:p w14:paraId="2CBBBD2C">
            <w:pPr>
              <w:adjustRightInd w:val="0"/>
              <w:snapToGrid w:val="0"/>
              <w:rPr>
                <w:rFonts w:hAnsi="宋体" w:cs="宋体"/>
                <w:kern w:val="0"/>
                <w:sz w:val="21"/>
                <w:szCs w:val="21"/>
              </w:rPr>
            </w:pPr>
            <w:r>
              <w:rPr>
                <w:rFonts w:hint="eastAsia" w:hAnsi="宋体" w:cs="宋体"/>
                <w:kern w:val="0"/>
                <w:sz w:val="21"/>
                <w:szCs w:val="21"/>
              </w:rPr>
              <w:t>3.社会不良影响较小，具有其他情节较轻情形。</w:t>
            </w:r>
          </w:p>
        </w:tc>
        <w:tc>
          <w:tcPr>
            <w:tcW w:w="612" w:type="pct"/>
            <w:noWrap/>
            <w:vAlign w:val="center"/>
          </w:tcPr>
          <w:p w14:paraId="03A87D1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警告。没收违法经营额或者违法所得。</w:t>
            </w:r>
          </w:p>
        </w:tc>
      </w:tr>
      <w:tr w14:paraId="20B1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40" w:hRule="exact"/>
          <w:jc w:val="center"/>
        </w:trPr>
        <w:tc>
          <w:tcPr>
            <w:tcW w:w="197" w:type="pct"/>
            <w:vMerge w:val="continue"/>
            <w:vAlign w:val="center"/>
          </w:tcPr>
          <w:p w14:paraId="7D354D67">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78BD6BF">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537697FB">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39F13092">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A9B884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0A289175">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378F291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1.擅自设立分支机构2个以上5个以下；</w:t>
            </w:r>
          </w:p>
          <w:p w14:paraId="0E3C6F7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2.违法经营额或者违法所得5万元以上20万元以下；</w:t>
            </w:r>
          </w:p>
          <w:p w14:paraId="43EADD6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3.造成较大不良社会影响，或者有其他情节较重情形。</w:t>
            </w:r>
          </w:p>
        </w:tc>
        <w:tc>
          <w:tcPr>
            <w:tcW w:w="612" w:type="pct"/>
            <w:noWrap/>
            <w:vAlign w:val="center"/>
          </w:tcPr>
          <w:p w14:paraId="519B73B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责令限期停止活动（1至6个月），没收违法经营额或者违法所得，可以并处违法经营额一倍以上二倍以下罚款或者违法所得三倍以上四倍以下罚款。</w:t>
            </w:r>
          </w:p>
        </w:tc>
      </w:tr>
      <w:tr w14:paraId="0FD36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984" w:hRule="exact"/>
          <w:jc w:val="center"/>
        </w:trPr>
        <w:tc>
          <w:tcPr>
            <w:tcW w:w="197" w:type="pct"/>
            <w:vMerge w:val="continue"/>
            <w:vAlign w:val="center"/>
          </w:tcPr>
          <w:p w14:paraId="7B53E831">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4997931E">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4C6873C">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188F6302">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072DF14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6C0ADBA2">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0BDABF6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1.擅自设立分支机构5个以上；</w:t>
            </w:r>
          </w:p>
          <w:p w14:paraId="5DF3502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2.违法经营额或者违法所得20万元以上的；</w:t>
            </w:r>
          </w:p>
          <w:p w14:paraId="16E17C1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3.2年内曾因设立分支机构受到过行政处罚，经责令改正拒不改正；</w:t>
            </w:r>
          </w:p>
          <w:p w14:paraId="007FD19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3.造成严重不良社会影响，或者有其他情节严重情形。</w:t>
            </w:r>
          </w:p>
        </w:tc>
        <w:tc>
          <w:tcPr>
            <w:tcW w:w="612" w:type="pct"/>
            <w:noWrap/>
            <w:vAlign w:val="center"/>
          </w:tcPr>
          <w:p w14:paraId="4229DA3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撤销登记。没收违法经营额或违法所得，可以并处违法经营额二倍以上三倍以下罚款或者违法所得四倍以上五倍以下罚款。</w:t>
            </w:r>
          </w:p>
        </w:tc>
      </w:tr>
      <w:tr w14:paraId="43326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141" w:hRule="exact"/>
          <w:jc w:val="center"/>
        </w:trPr>
        <w:tc>
          <w:tcPr>
            <w:tcW w:w="197" w:type="pct"/>
            <w:vMerge w:val="restart"/>
            <w:noWrap/>
            <w:vAlign w:val="center"/>
          </w:tcPr>
          <w:p w14:paraId="6532573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30</w:t>
            </w:r>
          </w:p>
        </w:tc>
        <w:tc>
          <w:tcPr>
            <w:tcW w:w="1054" w:type="pct"/>
            <w:gridSpan w:val="2"/>
            <w:vMerge w:val="restart"/>
            <w:noWrap/>
            <w:vAlign w:val="center"/>
          </w:tcPr>
          <w:p w14:paraId="41396F0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民办非企业单位从事营利性的经营活动。</w:t>
            </w:r>
          </w:p>
        </w:tc>
        <w:tc>
          <w:tcPr>
            <w:tcW w:w="940" w:type="pct"/>
            <w:vMerge w:val="restart"/>
            <w:noWrap/>
            <w:vAlign w:val="center"/>
          </w:tcPr>
          <w:p w14:paraId="447EA1A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《民办非企业单位登记管理暂行条例》第四条第二款：民办非企业单位不得从事营利性经营活动。</w:t>
            </w:r>
          </w:p>
        </w:tc>
        <w:tc>
          <w:tcPr>
            <w:tcW w:w="929" w:type="pct"/>
            <w:vMerge w:val="restart"/>
            <w:noWrap/>
            <w:vAlign w:val="center"/>
          </w:tcPr>
          <w:p w14:paraId="6E698A1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《民办非企业单位登记管理暂行条例》第二十五条：民办非企业单位有下列情形之一的，由登记管理机关予以警告，责令改正，可以限期停止活动；情节严重的，予以撤销登记；构成犯罪的，依法追究刑事责任：</w:t>
            </w:r>
          </w:p>
          <w:p w14:paraId="037E921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w:t>
            </w:r>
          </w:p>
          <w:p w14:paraId="5AD5217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（六）从事营利性的经营活动的；</w:t>
            </w:r>
          </w:p>
          <w:p w14:paraId="6F8207B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w:t>
            </w:r>
          </w:p>
          <w:p w14:paraId="00E623E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651A199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2AD0828C">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3EECB1C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1.从事营利性的经营活动，持续时间6个月以下；</w:t>
            </w:r>
          </w:p>
          <w:p w14:paraId="7E13310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2.违法经营额或者违法所得20万元以下；</w:t>
            </w:r>
          </w:p>
          <w:p w14:paraId="5798396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3.社会不良影响较小，或者具有其他情节较轻情形。</w:t>
            </w:r>
          </w:p>
        </w:tc>
        <w:tc>
          <w:tcPr>
            <w:tcW w:w="612" w:type="pct"/>
            <w:noWrap/>
            <w:vAlign w:val="center"/>
          </w:tcPr>
          <w:p w14:paraId="149DFD5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警告。没收违法经营额或者违法所得。</w:t>
            </w:r>
          </w:p>
        </w:tc>
      </w:tr>
      <w:tr w14:paraId="4B60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925" w:hRule="atLeast"/>
          <w:jc w:val="center"/>
        </w:trPr>
        <w:tc>
          <w:tcPr>
            <w:tcW w:w="197" w:type="pct"/>
            <w:vMerge w:val="continue"/>
            <w:vAlign w:val="center"/>
          </w:tcPr>
          <w:p w14:paraId="2BD868BF">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129965F7">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0B9896E7">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3E4E504">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6D743A7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076F3EB3">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37955A4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1.从事营利性的经营活动，持续时间6个月以上1年以下；</w:t>
            </w:r>
          </w:p>
          <w:p w14:paraId="6AAE81B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2.违法经营额或者违法所得20万元以上50万元以下；</w:t>
            </w:r>
          </w:p>
          <w:p w14:paraId="2059C18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3.造成较大社会负面影响的，或者有其他情节较重情形。</w:t>
            </w:r>
          </w:p>
        </w:tc>
        <w:tc>
          <w:tcPr>
            <w:tcW w:w="612" w:type="pct"/>
            <w:noWrap/>
            <w:vAlign w:val="center"/>
          </w:tcPr>
          <w:p w14:paraId="73E6ADC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责令限期停止活动（1至6个月），没收违法经营额或者违法所得，可以并处违法经营额一倍以上二倍以下罚款或者违法所得三倍以上四倍以下罚款。</w:t>
            </w:r>
          </w:p>
        </w:tc>
      </w:tr>
      <w:tr w14:paraId="40CA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05" w:hRule="atLeast"/>
          <w:jc w:val="center"/>
        </w:trPr>
        <w:tc>
          <w:tcPr>
            <w:tcW w:w="197" w:type="pct"/>
            <w:vMerge w:val="continue"/>
            <w:vAlign w:val="center"/>
          </w:tcPr>
          <w:p w14:paraId="3499C4DA">
            <w:pPr>
              <w:adjustRightInd w:val="0"/>
              <w:snapToGrid w:val="0"/>
            </w:pPr>
          </w:p>
        </w:tc>
        <w:tc>
          <w:tcPr>
            <w:tcW w:w="1054" w:type="pct"/>
            <w:gridSpan w:val="2"/>
            <w:vMerge w:val="continue"/>
            <w:vAlign w:val="center"/>
          </w:tcPr>
          <w:p w14:paraId="30DE9561">
            <w:pPr>
              <w:adjustRightInd w:val="0"/>
              <w:snapToGrid w:val="0"/>
            </w:pPr>
          </w:p>
        </w:tc>
        <w:tc>
          <w:tcPr>
            <w:tcW w:w="940" w:type="pct"/>
            <w:vMerge w:val="continue"/>
            <w:vAlign w:val="center"/>
          </w:tcPr>
          <w:p w14:paraId="5C3F3F92">
            <w:pPr>
              <w:adjustRightInd w:val="0"/>
              <w:snapToGrid w:val="0"/>
            </w:pPr>
          </w:p>
        </w:tc>
        <w:tc>
          <w:tcPr>
            <w:tcW w:w="929" w:type="pct"/>
            <w:vMerge w:val="continue"/>
            <w:vAlign w:val="center"/>
          </w:tcPr>
          <w:p w14:paraId="454612B8">
            <w:pPr>
              <w:adjustRightInd w:val="0"/>
              <w:snapToGrid w:val="0"/>
            </w:pPr>
          </w:p>
        </w:tc>
        <w:tc>
          <w:tcPr>
            <w:tcW w:w="237" w:type="pct"/>
            <w:noWrap/>
            <w:vAlign w:val="center"/>
          </w:tcPr>
          <w:p w14:paraId="69C2232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2908" w:type="dxa"/>
            <w:noWrap/>
            <w:vAlign w:val="center"/>
          </w:tcPr>
          <w:p w14:paraId="52D22A6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1.从事营利性的经营活动，持续时间1年以上；</w:t>
            </w:r>
          </w:p>
          <w:p w14:paraId="4A70285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2.违法经营额或者违法所得50万元以上；</w:t>
            </w:r>
          </w:p>
          <w:p w14:paraId="0697FA8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3.2年内曾因从事营利性的经营活动受到过行政处罚，经责令改正拒不改正；</w:t>
            </w:r>
          </w:p>
          <w:p w14:paraId="2655A41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4.造成严重不良社会影响，或者有其他情节严重情形。</w:t>
            </w:r>
          </w:p>
        </w:tc>
        <w:tc>
          <w:tcPr>
            <w:tcW w:w="1734" w:type="dxa"/>
            <w:noWrap/>
            <w:vAlign w:val="center"/>
          </w:tcPr>
          <w:p w14:paraId="7EA0A4A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撤销登记。没收违法经营额或者违法所得，可以并处违法经营额二倍以上三倍以下罚款或者违法所得四倍以上五倍以下罚款。</w:t>
            </w:r>
          </w:p>
        </w:tc>
      </w:tr>
      <w:tr w14:paraId="5ED1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81" w:hRule="exact"/>
          <w:jc w:val="center"/>
        </w:trPr>
        <w:tc>
          <w:tcPr>
            <w:tcW w:w="197" w:type="pct"/>
            <w:vMerge w:val="restart"/>
            <w:noWrap/>
            <w:vAlign w:val="center"/>
          </w:tcPr>
          <w:p w14:paraId="67B72BC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31</w:t>
            </w:r>
          </w:p>
        </w:tc>
        <w:tc>
          <w:tcPr>
            <w:tcW w:w="1054" w:type="pct"/>
            <w:gridSpan w:val="2"/>
            <w:vMerge w:val="restart"/>
            <w:noWrap/>
            <w:vAlign w:val="center"/>
          </w:tcPr>
          <w:p w14:paraId="61EF09C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侵占、私分、挪用民办非企业单位的资产。</w:t>
            </w:r>
          </w:p>
          <w:p w14:paraId="692936A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具体主要有：</w:t>
            </w:r>
          </w:p>
          <w:p w14:paraId="278AE60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1.侵占民办非企业单位的资产或者所接受的捐赠、资助的；</w:t>
            </w:r>
          </w:p>
          <w:p w14:paraId="64A4FC4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2.私分民办非企业单位的资产或者所接受的捐赠、资助的；</w:t>
            </w:r>
          </w:p>
          <w:p w14:paraId="231CDB3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3.挪用民办非企业单位的资产或者所接受的捐赠、资助的。</w:t>
            </w:r>
          </w:p>
        </w:tc>
        <w:tc>
          <w:tcPr>
            <w:tcW w:w="940" w:type="pct"/>
            <w:vMerge w:val="restart"/>
            <w:noWrap/>
            <w:vAlign w:val="center"/>
          </w:tcPr>
          <w:p w14:paraId="1535541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《民办非企业单位登记管理暂行条例》第二十一条第一款：民办非企业单位的资产来源必须合法，任何单位和个人不得侵占、私分或者挪用民办非企业单位的资产。</w:t>
            </w:r>
          </w:p>
        </w:tc>
        <w:tc>
          <w:tcPr>
            <w:tcW w:w="929" w:type="pct"/>
            <w:vMerge w:val="restart"/>
            <w:noWrap/>
            <w:vAlign w:val="center"/>
          </w:tcPr>
          <w:p w14:paraId="4FBE055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《民办非企业单位登记管理暂行条例》第二十五条：民办非企业单位有下列情形之一的，由登记管理机关予以警告，责令改正，可以限期停止活动；情节严重的，予以撤销登记；构成犯罪的，依法追究刑事责任：</w:t>
            </w:r>
          </w:p>
          <w:p w14:paraId="15CD8D7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24C3E73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（七）侵占、私分、挪用民办非企业单位的资产或者所接受的捐赠、资助的；</w:t>
            </w:r>
          </w:p>
          <w:p w14:paraId="757F584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62FFEE7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2216CF9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7734654A">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2D8CCD0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1.侵占、私分金额5万元以下；</w:t>
            </w:r>
          </w:p>
          <w:p w14:paraId="185D863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2.挪用金额10万元以下；</w:t>
            </w:r>
          </w:p>
          <w:p w14:paraId="367571C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3.社会不良影响较小，或者具有其他情节较轻情形。</w:t>
            </w:r>
          </w:p>
        </w:tc>
        <w:tc>
          <w:tcPr>
            <w:tcW w:w="612" w:type="pct"/>
            <w:noWrap/>
            <w:vAlign w:val="center"/>
          </w:tcPr>
          <w:p w14:paraId="5B4E899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警告。没收违法经营额或者违法所得。</w:t>
            </w:r>
          </w:p>
        </w:tc>
      </w:tr>
      <w:tr w14:paraId="536EC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53" w:hRule="exact"/>
          <w:jc w:val="center"/>
        </w:trPr>
        <w:tc>
          <w:tcPr>
            <w:tcW w:w="197" w:type="pct"/>
            <w:vMerge w:val="continue"/>
            <w:vAlign w:val="center"/>
          </w:tcPr>
          <w:p w14:paraId="2CE91028">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04607C67">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6E0C64A">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BACB406">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21BBD8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219CF4B7">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622101B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1.侵占、私分金额5万元以上20万元以下；</w:t>
            </w:r>
          </w:p>
          <w:p w14:paraId="37F18F8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2.挪用金额10万元以上50万元以下；</w:t>
            </w:r>
          </w:p>
          <w:p w14:paraId="13B98B8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3.造成较大社会负面影响的，或者有其他情节较重情形。</w:t>
            </w:r>
          </w:p>
        </w:tc>
        <w:tc>
          <w:tcPr>
            <w:tcW w:w="612" w:type="pct"/>
            <w:noWrap/>
            <w:vAlign w:val="center"/>
          </w:tcPr>
          <w:p w14:paraId="0549E83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责令限期停止活动（1至6个月）。没收违法经营额或者违法所得，可以并处违法经营额一倍以上二倍以下罚款或者违法所得三倍以上四倍以下罚款。</w:t>
            </w:r>
          </w:p>
        </w:tc>
      </w:tr>
      <w:tr w14:paraId="73DB7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20" w:hRule="exact"/>
          <w:jc w:val="center"/>
        </w:trPr>
        <w:tc>
          <w:tcPr>
            <w:tcW w:w="197" w:type="pct"/>
            <w:vMerge w:val="continue"/>
            <w:vAlign w:val="center"/>
          </w:tcPr>
          <w:p w14:paraId="2CED533F">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0C30C326">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59D9504D">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707AE31">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A043A2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788FE11B">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7285FB3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1.侵占、私分金额20万元以上；</w:t>
            </w:r>
          </w:p>
          <w:p w14:paraId="73E7E48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2.挪用金额50万元以上；</w:t>
            </w:r>
          </w:p>
          <w:p w14:paraId="46E610A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3.2年内曾因侵占、私分、挪用民办非企业单位资产或者所接受的捐赠、资助受到过行政处罚，经责令改正拒不改正；</w:t>
            </w:r>
          </w:p>
          <w:p w14:paraId="289826A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4.造成严重不良社会影响，或者有其他情节严重情形。</w:t>
            </w:r>
          </w:p>
        </w:tc>
        <w:tc>
          <w:tcPr>
            <w:tcW w:w="612" w:type="pct"/>
            <w:noWrap/>
            <w:vAlign w:val="center"/>
          </w:tcPr>
          <w:p w14:paraId="549118E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撤销登记。没收违法经营额或违法所得，可以并处违法经营额二倍以上三倍以下罚款或者违法所得四倍以上五倍以下罚款。</w:t>
            </w:r>
          </w:p>
        </w:tc>
      </w:tr>
      <w:tr w14:paraId="2B51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65" w:hRule="exact"/>
          <w:jc w:val="center"/>
        </w:trPr>
        <w:tc>
          <w:tcPr>
            <w:tcW w:w="197" w:type="pct"/>
            <w:vMerge w:val="restart"/>
            <w:noWrap/>
            <w:vAlign w:val="center"/>
          </w:tcPr>
          <w:p w14:paraId="7C1054E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32</w:t>
            </w:r>
          </w:p>
        </w:tc>
        <w:tc>
          <w:tcPr>
            <w:tcW w:w="1054" w:type="pct"/>
            <w:gridSpan w:val="2"/>
            <w:vMerge w:val="restart"/>
            <w:noWrap/>
            <w:vAlign w:val="center"/>
          </w:tcPr>
          <w:p w14:paraId="04DC1D1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民办非企业单位违反国家有关规定收取费用、筹集资金。</w:t>
            </w:r>
          </w:p>
          <w:p w14:paraId="30714A7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具体主要有：</w:t>
            </w:r>
          </w:p>
          <w:p w14:paraId="7251100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1.民办非企业单位违反国家有关规定收取费用的；</w:t>
            </w:r>
          </w:p>
          <w:p w14:paraId="39660EA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2.民办非企业单位违反国家有关筹集资金的。</w:t>
            </w:r>
          </w:p>
        </w:tc>
        <w:tc>
          <w:tcPr>
            <w:tcW w:w="940" w:type="pct"/>
            <w:vMerge w:val="restart"/>
            <w:noWrap/>
            <w:vAlign w:val="center"/>
          </w:tcPr>
          <w:p w14:paraId="34980C4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一条第三款：民办非企业单位接受捐赠、资助，必须符合章程规定的宗旨和业务范围，必须根据与捐赠人、资助人约定的期限、方式和合法用途使用。民办非企业单位应当向业务主管单位报告接受、使用捐赠、资助的有关情况，并应当将有关情况以适当方式向社会公布。</w:t>
            </w:r>
          </w:p>
        </w:tc>
        <w:tc>
          <w:tcPr>
            <w:tcW w:w="929" w:type="pct"/>
            <w:vMerge w:val="restart"/>
            <w:noWrap/>
            <w:vAlign w:val="center"/>
          </w:tcPr>
          <w:p w14:paraId="2ADC0D2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《民办非企业单位登记管理暂行条例》第二十五条：民办非企业单位有下列情形之一的，由登记管理机关予以警告，责令改正，可以限期停止活动；情节严重的，予以撤销登记；构成犯罪的，依法追究刑事责任：</w:t>
            </w:r>
          </w:p>
          <w:p w14:paraId="0F62DBE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2BD0C2C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（八）违反国家有关规定收取费用、筹集资金或者接受使用捐赠、资助的；</w:t>
            </w:r>
          </w:p>
          <w:p w14:paraId="77B3861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6F29D59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088E47F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271D483B">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3BD151D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1.违规收取费用或者筹集资金10万元以下；</w:t>
            </w:r>
          </w:p>
          <w:p w14:paraId="799A001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2.社会不良影响较小，或者具有其他情节较轻情形。</w:t>
            </w:r>
          </w:p>
        </w:tc>
        <w:tc>
          <w:tcPr>
            <w:tcW w:w="612" w:type="pct"/>
            <w:noWrap/>
            <w:vAlign w:val="center"/>
          </w:tcPr>
          <w:p w14:paraId="1133A02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警告。没收违法经营额或者违法所得。</w:t>
            </w:r>
          </w:p>
        </w:tc>
      </w:tr>
      <w:tr w14:paraId="398C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18" w:hRule="exact"/>
          <w:jc w:val="center"/>
        </w:trPr>
        <w:tc>
          <w:tcPr>
            <w:tcW w:w="197" w:type="pct"/>
            <w:vMerge w:val="continue"/>
            <w:vAlign w:val="center"/>
          </w:tcPr>
          <w:p w14:paraId="14ABA80B">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69C2DE8">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0479B030">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78A099DA">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DE3B14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7A24F63D">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7B6D225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1.违规收取费用或者筹集资金10万元以上50万元以下；</w:t>
            </w:r>
          </w:p>
          <w:p w14:paraId="6098C48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2.造成较大社会负面影响的，或者有其他情节较重情形。</w:t>
            </w:r>
          </w:p>
        </w:tc>
        <w:tc>
          <w:tcPr>
            <w:tcW w:w="612" w:type="pct"/>
            <w:noWrap/>
            <w:vAlign w:val="center"/>
          </w:tcPr>
          <w:p w14:paraId="500FCE3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责令限期停止活动（1至6个月）。没收违法经营额或者违法所得，可以并处违法经营额一倍以上二倍以下罚款或者违法所得三倍以上四倍以下罚款。</w:t>
            </w:r>
          </w:p>
        </w:tc>
      </w:tr>
      <w:tr w14:paraId="5B7C4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679" w:hRule="exact"/>
          <w:jc w:val="center"/>
        </w:trPr>
        <w:tc>
          <w:tcPr>
            <w:tcW w:w="197" w:type="pct"/>
            <w:vMerge w:val="continue"/>
            <w:vAlign w:val="center"/>
          </w:tcPr>
          <w:p w14:paraId="4D2DBF4C">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02011FF2">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19CD2EC4">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9C46CB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AC5D38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776C12B6">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76F83C1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1.违规收取费用或者筹集资金50万元以上；</w:t>
            </w:r>
          </w:p>
          <w:p w14:paraId="2D1C426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2.2年内曾因违反国家有关规定收取费用、筹集资金受到过行政处罚，经责令改正拒不改正；</w:t>
            </w:r>
          </w:p>
          <w:p w14:paraId="3F4EC28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3.造成严重社会负面影响的，或者有其他情节严重情形。</w:t>
            </w:r>
          </w:p>
        </w:tc>
        <w:tc>
          <w:tcPr>
            <w:tcW w:w="612" w:type="pct"/>
            <w:noWrap/>
            <w:vAlign w:val="center"/>
          </w:tcPr>
          <w:p w14:paraId="3B13034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撤销登记。没收违法经营额或违法所得，可以并处违法经营额二倍以上三倍以下罚款或者违法所得四倍以上五倍以下罚款。</w:t>
            </w:r>
          </w:p>
        </w:tc>
      </w:tr>
      <w:tr w14:paraId="5A75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92" w:hRule="exact"/>
          <w:jc w:val="center"/>
        </w:trPr>
        <w:tc>
          <w:tcPr>
            <w:tcW w:w="197" w:type="pct"/>
            <w:vMerge w:val="restart"/>
            <w:noWrap/>
            <w:vAlign w:val="center"/>
          </w:tcPr>
          <w:p w14:paraId="157DA7D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33</w:t>
            </w:r>
          </w:p>
        </w:tc>
        <w:tc>
          <w:tcPr>
            <w:tcW w:w="1054" w:type="pct"/>
            <w:gridSpan w:val="2"/>
            <w:vMerge w:val="restart"/>
            <w:noWrap/>
            <w:vAlign w:val="center"/>
          </w:tcPr>
          <w:p w14:paraId="729B30B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民办非企业单位违反国家有关规定接受、使用捐赠、资助。</w:t>
            </w: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具体主要有：</w:t>
            </w:r>
            <w:r>
              <w:rPr>
                <w:rFonts w:hint="eastAsia" w:hAnsi="宋体" w:cs="宋体"/>
                <w:color w:val="000000" w:themeColor="text1"/>
                <w:kern w:val="0"/>
                <w:sz w:val="21"/>
                <w:szCs w:val="21"/>
                <w14:textFill>
                  <w14:solidFill>
                    <w14:schemeClr w14:val="tx1"/>
                  </w14:solidFill>
                </w14:textFill>
              </w:rPr>
              <w:br w:type="textWrapping"/>
            </w: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1.民办非企业单位违反国家有关规定接受捐赠、资助的；</w:t>
            </w:r>
            <w:r>
              <w:rPr>
                <w:rFonts w:hint="eastAsia" w:hAnsi="宋体" w:cs="宋体"/>
                <w:color w:val="000000" w:themeColor="text1"/>
                <w:kern w:val="0"/>
                <w:sz w:val="21"/>
                <w:szCs w:val="21"/>
                <w14:textFill>
                  <w14:solidFill>
                    <w14:schemeClr w14:val="tx1"/>
                  </w14:solidFill>
                </w14:textFill>
              </w:rPr>
              <w:br w:type="textWrapping"/>
            </w: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2.民办非企业单位违反国家有关规定使用捐赠、资助的。</w:t>
            </w:r>
          </w:p>
        </w:tc>
        <w:tc>
          <w:tcPr>
            <w:tcW w:w="940" w:type="pct"/>
            <w:vMerge w:val="restart"/>
            <w:noWrap/>
            <w:vAlign w:val="center"/>
          </w:tcPr>
          <w:p w14:paraId="125F23C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一条第三款：民办非企业单位接受捐赠、资助，必须符合章程规定的宗旨和业务范围，必须根据与捐赠人、资助人约定的期限、方式和合法用途使用。民办非企业单位应当向业务主管单位报告接受、使用捐赠、资助的有关情况，并应当将有关情况以适当方式向社会公布。</w:t>
            </w:r>
          </w:p>
        </w:tc>
        <w:tc>
          <w:tcPr>
            <w:tcW w:w="929" w:type="pct"/>
            <w:vMerge w:val="restart"/>
            <w:noWrap/>
            <w:vAlign w:val="center"/>
          </w:tcPr>
          <w:p w14:paraId="3C604D4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《民办非企业单位登记管理暂行条例》第二十五条：民办非企业单位有下列情形之一的，由登记管理机关予以警告，责令改正，可以限期停止活动；情节严重的，予以撤销登记；构成犯罪的，依法追究刑事责任：</w:t>
            </w:r>
            <w:r>
              <w:rPr>
                <w:rFonts w:hint="eastAsia" w:hAnsi="宋体" w:cs="宋体"/>
                <w:color w:val="000000" w:themeColor="text1"/>
                <w:kern w:val="0"/>
                <w:sz w:val="21"/>
                <w:szCs w:val="21"/>
                <w14:textFill>
                  <w14:solidFill>
                    <w14:schemeClr w14:val="tx1"/>
                  </w14:solidFill>
                </w14:textFill>
              </w:rPr>
              <w:br w:type="textWrapping"/>
            </w: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w:t>
            </w:r>
            <w:r>
              <w:rPr>
                <w:rFonts w:hint="eastAsia" w:hAnsi="宋体" w:cs="宋体"/>
                <w:color w:val="000000" w:themeColor="text1"/>
                <w:kern w:val="0"/>
                <w:sz w:val="21"/>
                <w:szCs w:val="21"/>
                <w14:textFill>
                  <w14:solidFill>
                    <w14:schemeClr w14:val="tx1"/>
                  </w14:solidFill>
                </w14:textFill>
              </w:rPr>
              <w:br w:type="textWrapping"/>
            </w: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（八）违反国家有关规定收取费用、筹集资金或者接受使用捐赠、资助的；</w:t>
            </w:r>
            <w:r>
              <w:rPr>
                <w:rFonts w:hint="eastAsia" w:hAnsi="宋体" w:cs="宋体"/>
                <w:color w:val="000000" w:themeColor="text1"/>
                <w:kern w:val="0"/>
                <w:sz w:val="21"/>
                <w:szCs w:val="21"/>
                <w14:textFill>
                  <w14:solidFill>
                    <w14:schemeClr w14:val="tx1"/>
                  </w14:solidFill>
                </w14:textFill>
              </w:rPr>
              <w:br w:type="textWrapping"/>
            </w:r>
            <w:r>
              <w:rPr>
                <w:rFonts w:hint="eastAsia" w:hAnsi="宋体" w:cs="宋体"/>
                <w:color w:val="000000" w:themeColor="text1"/>
                <w:kern w:val="0"/>
                <w:sz w:val="21"/>
                <w:szCs w:val="21"/>
                <w14:textFill>
                  <w14:solidFill>
                    <w14:schemeClr w14:val="tx1"/>
                  </w14:solidFill>
                </w14:textFill>
              </w:rPr>
              <w:t>……</w:t>
            </w:r>
            <w:r>
              <w:rPr>
                <w:rFonts w:hint="eastAsia" w:hAnsi="宋体" w:cs="宋体"/>
                <w:color w:val="000000" w:themeColor="text1"/>
                <w:kern w:val="0"/>
                <w:sz w:val="21"/>
                <w:szCs w:val="21"/>
                <w14:textFill>
                  <w14:solidFill>
                    <w14:schemeClr w14:val="tx1"/>
                  </w14:solidFill>
                </w14:textFill>
              </w:rPr>
              <w:br w:type="textWrapping"/>
            </w: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前款规定的行为有违法经营额或者违法所得的，予以没收，可以并处违法经营额1倍以上3倍以下或者违法所得3倍以上5倍以下的罚款。</w:t>
            </w:r>
          </w:p>
        </w:tc>
        <w:tc>
          <w:tcPr>
            <w:tcW w:w="237" w:type="pct"/>
            <w:noWrap/>
            <w:vAlign w:val="center"/>
          </w:tcPr>
          <w:p w14:paraId="563FDB2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690F9139">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149DAD9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1.违反国家有关规定接受捐赠、资助20万元以下；</w:t>
            </w:r>
          </w:p>
          <w:p w14:paraId="2B526C7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2.违反国家有关规定使用捐赠、资助5万元以下；</w:t>
            </w:r>
          </w:p>
          <w:p w14:paraId="1FFFF34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3.社会不良影响较小，或者具有其他情节较轻情形。</w:t>
            </w:r>
          </w:p>
        </w:tc>
        <w:tc>
          <w:tcPr>
            <w:tcW w:w="612" w:type="pct"/>
            <w:noWrap/>
            <w:vAlign w:val="center"/>
          </w:tcPr>
          <w:p w14:paraId="40948C6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警告。没收违法经营额或者违法所得。</w:t>
            </w:r>
          </w:p>
        </w:tc>
      </w:tr>
      <w:tr w14:paraId="464E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76" w:hRule="exact"/>
          <w:jc w:val="center"/>
        </w:trPr>
        <w:tc>
          <w:tcPr>
            <w:tcW w:w="197" w:type="pct"/>
            <w:vMerge w:val="continue"/>
            <w:vAlign w:val="center"/>
          </w:tcPr>
          <w:p w14:paraId="2212300F">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1F0F4636">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1E486F8F">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97E2BC6">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38AE760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5711B7DF">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5D5D1CB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1.违反国家有关规定接受捐赠、资助20万元以上50万元以下；</w:t>
            </w:r>
          </w:p>
          <w:p w14:paraId="442345A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2.违反国家有关规定使用捐赠、资助5万元以上20万元以下；</w:t>
            </w:r>
          </w:p>
          <w:p w14:paraId="741DE28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3.造成较大社会负面影响的，或者有其他情节较重情形。</w:t>
            </w:r>
          </w:p>
        </w:tc>
        <w:tc>
          <w:tcPr>
            <w:tcW w:w="612" w:type="pct"/>
            <w:noWrap/>
            <w:vAlign w:val="center"/>
          </w:tcPr>
          <w:p w14:paraId="79E46AA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责令限期停止活动（1至6个月）。没收违法经营额或者违法所得，可以并处违法经营额一倍以上二倍以下罚款或者违法所得三倍以上四倍以下罚款。</w:t>
            </w:r>
          </w:p>
        </w:tc>
      </w:tr>
      <w:tr w14:paraId="1947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177" w:hRule="exact"/>
          <w:jc w:val="center"/>
        </w:trPr>
        <w:tc>
          <w:tcPr>
            <w:tcW w:w="197" w:type="pct"/>
            <w:vMerge w:val="continue"/>
            <w:vAlign w:val="center"/>
          </w:tcPr>
          <w:p w14:paraId="49843380">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0B95980C">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36CC5AB1">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E07A0E0">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2BFAA9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2CC73DC0">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41FFCAF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1.违反国家有关规定接受捐赠、资助50万元以上；</w:t>
            </w:r>
          </w:p>
          <w:p w14:paraId="1361746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2.违反国家有关规定使用捐赠、资助20万元以上；</w:t>
            </w:r>
          </w:p>
          <w:p w14:paraId="5769ABF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3.2年内曾因违反国家有关规定接受、使用捐赠、资助受到过行政处罚，经责令改正拒不改正；</w:t>
            </w:r>
          </w:p>
          <w:p w14:paraId="2A5B232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4.造成严重社会负面影响的，或者有其他情节严重情形。</w:t>
            </w:r>
          </w:p>
        </w:tc>
        <w:tc>
          <w:tcPr>
            <w:tcW w:w="612" w:type="pct"/>
            <w:noWrap/>
            <w:vAlign w:val="center"/>
          </w:tcPr>
          <w:p w14:paraId="1A58B74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w:t>
            </w:r>
            <w:r>
              <w:rPr>
                <w:rFonts w:hAnsi="宋体" w:cs="宋体"/>
                <w:color w:val="000000" w:themeColor="text1"/>
                <w:kern w:val="0"/>
                <w:sz w:val="21"/>
                <w:szCs w:val="21"/>
                <w14:textFill>
                  <w14:solidFill>
                    <w14:schemeClr w14:val="tx1"/>
                  </w14:solidFill>
                </w14:textFill>
              </w:rPr>
              <w:t>没收违法经营额或违法所得，可以并处违法经营额二倍以上三倍以下罚款或者违法所得四倍以上五倍以下罚款。</w:t>
            </w:r>
          </w:p>
        </w:tc>
      </w:tr>
      <w:tr w14:paraId="619F2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5" w:hRule="atLeast"/>
          <w:jc w:val="center"/>
        </w:trPr>
        <w:tc>
          <w:tcPr>
            <w:tcW w:w="197" w:type="pct"/>
            <w:noWrap/>
            <w:vAlign w:val="center"/>
          </w:tcPr>
          <w:p w14:paraId="374C80D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34</w:t>
            </w:r>
          </w:p>
        </w:tc>
        <w:tc>
          <w:tcPr>
            <w:tcW w:w="1054" w:type="pct"/>
            <w:gridSpan w:val="2"/>
            <w:noWrap/>
            <w:vAlign w:val="center"/>
          </w:tcPr>
          <w:p w14:paraId="433193E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民办非企业单位的活动违反其他法律、法规。</w:t>
            </w:r>
          </w:p>
        </w:tc>
        <w:tc>
          <w:tcPr>
            <w:tcW w:w="940" w:type="pct"/>
            <w:noWrap/>
            <w:vAlign w:val="center"/>
          </w:tcPr>
          <w:p w14:paraId="3002E6A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《民办非企业单位登记管理暂行条例》第二十六条：民办非企业单位的活动违反其他法律、法规的，由有关国家机关依法处理；有关国家机关认为应当撤销登记的，由登记管理机关撤销登记。</w:t>
            </w:r>
          </w:p>
        </w:tc>
        <w:tc>
          <w:tcPr>
            <w:tcW w:w="929" w:type="pct"/>
            <w:noWrap/>
            <w:vAlign w:val="center"/>
          </w:tcPr>
          <w:p w14:paraId="622F343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《民办非企业单位登记管理暂行条例》第二十六条：民办非企业单位的活动违反其他法律、法规的，由有关国家机关依法处理；有关国家机关认为应当撤销登记的，由登记管理机关撤销登记。</w:t>
            </w:r>
          </w:p>
        </w:tc>
        <w:tc>
          <w:tcPr>
            <w:tcW w:w="237" w:type="pct"/>
            <w:noWrap/>
            <w:vAlign w:val="center"/>
          </w:tcPr>
          <w:p w14:paraId="66F984D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7CF1376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民办非企业单位违反《民办非企业单位登记管理暂行条例》以外的其他法律、法规，有关国家机关认为应当撤销登记的，并出具明确书面意见。</w:t>
            </w:r>
          </w:p>
        </w:tc>
        <w:tc>
          <w:tcPr>
            <w:tcW w:w="612" w:type="pct"/>
            <w:noWrap/>
            <w:vAlign w:val="center"/>
          </w:tcPr>
          <w:p w14:paraId="3EB140F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撤销登记。</w:t>
            </w:r>
          </w:p>
        </w:tc>
      </w:tr>
      <w:tr w14:paraId="45FB3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5" w:hRule="atLeast"/>
          <w:jc w:val="center"/>
        </w:trPr>
        <w:tc>
          <w:tcPr>
            <w:tcW w:w="197" w:type="pct"/>
            <w:noWrap/>
            <w:vAlign w:val="center"/>
          </w:tcPr>
          <w:p w14:paraId="1DD9C53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35</w:t>
            </w:r>
          </w:p>
        </w:tc>
        <w:tc>
          <w:tcPr>
            <w:tcW w:w="1054" w:type="pct"/>
            <w:gridSpan w:val="2"/>
            <w:noWrap/>
            <w:vAlign w:val="center"/>
          </w:tcPr>
          <w:p w14:paraId="21DE075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对未经登记，擅自以民办非企业单位名义进行活动。</w:t>
            </w:r>
          </w:p>
        </w:tc>
        <w:tc>
          <w:tcPr>
            <w:tcW w:w="940" w:type="pct"/>
            <w:noWrap/>
            <w:vAlign w:val="center"/>
          </w:tcPr>
          <w:p w14:paraId="4BE1B34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七条：未经登记，擅自以民办非企业单位名义进行活动的，或者被撤销登记的民办非企业单位继续以民办非企业单位名义进行活动的，由登记管理机关予以取缔，没收非法财产；构成犯罪的，依法追究刑事责任；尚不构成犯罪的，依法给予治安管理处罚。</w:t>
            </w:r>
          </w:p>
        </w:tc>
        <w:tc>
          <w:tcPr>
            <w:tcW w:w="929" w:type="pct"/>
            <w:noWrap/>
            <w:vAlign w:val="center"/>
          </w:tcPr>
          <w:p w14:paraId="306FE0E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七条：未经登记，擅自以民办非企业单位名义进行活动的，或者被撤销登记的民办非企业单位继续以民办非企业单位名义进行活动的，由登记管理机关予以取缔，没收非法财产；构成犯罪的，依法追究刑事责任；尚不构成犯罪的，依法给予治安管理处罚。</w:t>
            </w:r>
          </w:p>
        </w:tc>
        <w:tc>
          <w:tcPr>
            <w:tcW w:w="237" w:type="pct"/>
            <w:noWrap/>
            <w:vAlign w:val="center"/>
          </w:tcPr>
          <w:p w14:paraId="68A6348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01EB1B0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未经登记，擅自以民办非企业单位名义进行活动的行为，存在非法财产。</w:t>
            </w:r>
          </w:p>
        </w:tc>
        <w:tc>
          <w:tcPr>
            <w:tcW w:w="612" w:type="pct"/>
            <w:noWrap/>
            <w:vAlign w:val="center"/>
          </w:tcPr>
          <w:p w14:paraId="2F29BA7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没收非法财产。</w:t>
            </w:r>
          </w:p>
        </w:tc>
      </w:tr>
      <w:tr w14:paraId="32D8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190" w:hRule="exact"/>
          <w:jc w:val="center"/>
        </w:trPr>
        <w:tc>
          <w:tcPr>
            <w:tcW w:w="197" w:type="pct"/>
            <w:noWrap/>
            <w:vAlign w:val="center"/>
          </w:tcPr>
          <w:p w14:paraId="016F7D6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36</w:t>
            </w:r>
          </w:p>
        </w:tc>
        <w:tc>
          <w:tcPr>
            <w:tcW w:w="1054" w:type="pct"/>
            <w:gridSpan w:val="2"/>
            <w:noWrap/>
            <w:vAlign w:val="center"/>
          </w:tcPr>
          <w:p w14:paraId="3638BBE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对被撤销登记的民办非企业单位继续以民办非企业单位名义进行活动。</w:t>
            </w:r>
          </w:p>
        </w:tc>
        <w:tc>
          <w:tcPr>
            <w:tcW w:w="940" w:type="pct"/>
            <w:noWrap/>
            <w:vAlign w:val="center"/>
          </w:tcPr>
          <w:p w14:paraId="2A4BB71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七条：未经登记，擅自以民办非企业单位名义进行活动的，或者被撤销登记的民办非企业单位继续以民办非企业单位名义进行活动的，由登记管理机关予以取缔，没收非法财产；构成犯罪的，依法追究刑事责任；尚不构成犯罪的，依法给予治安管理处罚。</w:t>
            </w:r>
          </w:p>
        </w:tc>
        <w:tc>
          <w:tcPr>
            <w:tcW w:w="929" w:type="pct"/>
            <w:noWrap/>
            <w:vAlign w:val="center"/>
          </w:tcPr>
          <w:p w14:paraId="35E84BD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办非企业单位登记管理暂行条例》第二十七条：未经登记，擅自以民办非企业单位名义进行活动的，或者被撤销登记的民办非企业单位继续以民办非企业单位名义进行活动的，由登记管理机关予以取缔，没收非法财产；构成犯罪的，依法追究刑事责任；尚不构成犯罪的，依法给予治安管理处罚。</w:t>
            </w:r>
          </w:p>
        </w:tc>
        <w:tc>
          <w:tcPr>
            <w:tcW w:w="237" w:type="pct"/>
            <w:noWrap/>
            <w:vAlign w:val="center"/>
          </w:tcPr>
          <w:p w14:paraId="21A8C0B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600319D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被撤销登记的民办非企业单位继续以民办非企业单位名义进行活动，存在非法财产。</w:t>
            </w:r>
          </w:p>
        </w:tc>
        <w:tc>
          <w:tcPr>
            <w:tcW w:w="612" w:type="pct"/>
            <w:noWrap/>
            <w:vAlign w:val="center"/>
          </w:tcPr>
          <w:p w14:paraId="63EE35C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没收非法财产。</w:t>
            </w:r>
          </w:p>
        </w:tc>
      </w:tr>
      <w:tr w14:paraId="7AE7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exact"/>
          <w:jc w:val="center"/>
        </w:trPr>
        <w:tc>
          <w:tcPr>
            <w:tcW w:w="5000" w:type="pct"/>
            <w:gridSpan w:val="8"/>
            <w:noWrap/>
            <w:vAlign w:val="center"/>
          </w:tcPr>
          <w:p w14:paraId="6138527A">
            <w:pPr>
              <w:adjustRightInd w:val="0"/>
              <w:snapToGrid w:val="0"/>
              <w:rPr>
                <w:rFonts w:ascii="黑体" w:hAnsi="黑体" w:eastAsia="黑体" w:cs="宋体"/>
                <w:color w:val="000000" w:themeColor="text1"/>
                <w:kern w:val="0"/>
                <w:sz w:val="21"/>
                <w:szCs w:val="21"/>
                <w14:textFill>
                  <w14:solidFill>
                    <w14:schemeClr w14:val="tx1"/>
                  </w14:solidFill>
                </w14:textFill>
              </w:rPr>
            </w:pPr>
            <w:r>
              <w:rPr>
                <w:rFonts w:hint="eastAsia" w:ascii="黑体" w:hAnsi="黑体" w:eastAsia="黑体" w:cs="宋体"/>
                <w:color w:val="000000" w:themeColor="text1"/>
                <w:kern w:val="0"/>
                <w:sz w:val="21"/>
                <w:szCs w:val="21"/>
                <w14:textFill>
                  <w14:solidFill>
                    <w14:schemeClr w14:val="tx1"/>
                  </w14:solidFill>
                </w14:textFill>
              </w:rPr>
              <w:t>四、宗教活动场所法人登记管理工作</w:t>
            </w:r>
          </w:p>
        </w:tc>
      </w:tr>
      <w:tr w14:paraId="3C248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638" w:hRule="atLeast"/>
          <w:jc w:val="center"/>
        </w:trPr>
        <w:tc>
          <w:tcPr>
            <w:tcW w:w="197" w:type="pct"/>
            <w:noWrap/>
            <w:vAlign w:val="center"/>
          </w:tcPr>
          <w:p w14:paraId="5604372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37</w:t>
            </w:r>
          </w:p>
        </w:tc>
        <w:tc>
          <w:tcPr>
            <w:tcW w:w="1054" w:type="pct"/>
            <w:gridSpan w:val="2"/>
            <w:noWrap/>
            <w:vAlign w:val="center"/>
          </w:tcPr>
          <w:p w14:paraId="16AEC15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大型宗教活动过程中发生危害国家安全、公共安全或者严重破坏社会秩序。</w:t>
            </w:r>
          </w:p>
        </w:tc>
        <w:tc>
          <w:tcPr>
            <w:tcW w:w="940" w:type="pct"/>
            <w:noWrap/>
            <w:vAlign w:val="center"/>
          </w:tcPr>
          <w:p w14:paraId="39EE294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《宗教事务条例》第四条第三款：任何组织或者个人不得利用宗教进行危害国家安全、破坏社会秩序、损害公民身体健康、妨碍国家教育制度，以及其他损害国家利益、社会公共利益和公民合法权益等违法活动。</w:t>
            </w:r>
          </w:p>
        </w:tc>
        <w:tc>
          <w:tcPr>
            <w:tcW w:w="929" w:type="pct"/>
            <w:noWrap/>
            <w:vAlign w:val="center"/>
          </w:tcPr>
          <w:p w14:paraId="5E5C4CF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第六十四条：大型宗教活动过程中发生危害国家安全、公共安全或者严重破坏社会秩序情况的，由有关部门依照法律、法规进行处置和处罚；主办的宗教团体、寺观教堂负有责任的，由登记管理机关责令其撤换主要负责人，情节严重的，由登记管理机关吊销其登记证书。</w:t>
            </w:r>
          </w:p>
        </w:tc>
        <w:tc>
          <w:tcPr>
            <w:tcW w:w="237" w:type="pct"/>
            <w:noWrap/>
            <w:vAlign w:val="center"/>
          </w:tcPr>
          <w:p w14:paraId="6AA04F1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20C58E0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宗教团体、寺观教堂对其主办大型宗教活动过程中发生危害公共安全或者严重破坏社会秩序的情况，负有责任，情节严重，宗教事务部门认为应当吊销其法人登记证书。</w:t>
            </w:r>
          </w:p>
        </w:tc>
        <w:tc>
          <w:tcPr>
            <w:tcW w:w="612" w:type="pct"/>
            <w:noWrap/>
            <w:vAlign w:val="center"/>
          </w:tcPr>
          <w:p w14:paraId="60A13C5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吊销法人登记证书。</w:t>
            </w:r>
          </w:p>
        </w:tc>
      </w:tr>
      <w:tr w14:paraId="1C9BC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159" w:hRule="atLeast"/>
          <w:jc w:val="center"/>
        </w:trPr>
        <w:tc>
          <w:tcPr>
            <w:tcW w:w="197" w:type="pct"/>
            <w:noWrap/>
            <w:vAlign w:val="center"/>
          </w:tcPr>
          <w:p w14:paraId="05ACF19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38</w:t>
            </w:r>
          </w:p>
        </w:tc>
        <w:tc>
          <w:tcPr>
            <w:tcW w:w="1054" w:type="pct"/>
            <w:gridSpan w:val="2"/>
            <w:noWrap/>
            <w:vAlign w:val="center"/>
          </w:tcPr>
          <w:p w14:paraId="3C5379B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宗教团体未按规定办理变更登记或备案手续。</w:t>
            </w:r>
          </w:p>
        </w:tc>
        <w:tc>
          <w:tcPr>
            <w:tcW w:w="940" w:type="pct"/>
            <w:noWrap/>
            <w:vAlign w:val="center"/>
          </w:tcPr>
          <w:p w14:paraId="74B07DF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《宗教事务条例》第七条第一款：宗教团体的成立、变更和注销，应当依照国家社会团体管理的有关规定办理登记。</w:t>
            </w:r>
          </w:p>
        </w:tc>
        <w:tc>
          <w:tcPr>
            <w:tcW w:w="929" w:type="pct"/>
            <w:noWrap/>
            <w:vAlign w:val="center"/>
          </w:tcPr>
          <w:p w14:paraId="1B5AD626">
            <w:pPr>
              <w:adjustRightInd w:val="0"/>
              <w:snapToGrid w:val="0"/>
              <w:spacing w:line="26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第六十五条：宗教团体、宗教院校、宗教活动场所有下列行为之一的，由宗教事务部门责令改正；情节较重的，由登记管理机关或者批准设立机关责令该宗教团体、宗教院校、宗教活动场所撤换直接负责的主管人员；情节严重的，由登记管理机关或者批准设立机关责令停止日常活动，改组管理组织，限期整</w:t>
            </w:r>
            <w:r>
              <w:rPr>
                <w:rFonts w:hint="eastAsia" w:hAnsi="宋体" w:cs="宋体"/>
                <w:color w:val="000000" w:themeColor="text1"/>
                <w:spacing w:val="-4"/>
                <w:kern w:val="0"/>
                <w:sz w:val="21"/>
                <w:szCs w:val="21"/>
                <w14:textFill>
                  <w14:solidFill>
                    <w14:schemeClr w14:val="tx1"/>
                  </w14:solidFill>
                </w14:textFill>
              </w:rPr>
              <w:t>改，拒不整改的，依法吊销其登记证书或者设立许可；有违法所得、非法财物的，予以没收：</w:t>
            </w:r>
          </w:p>
          <w:p w14:paraId="090F52E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（一）未按规定办理变更登记或者备案手续的。</w:t>
            </w:r>
          </w:p>
          <w:p w14:paraId="08C7CE6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5645CDA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7F12419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宗教团</w:t>
            </w:r>
            <w:r>
              <w:rPr>
                <w:rFonts w:hint="eastAsia" w:hAnsi="宋体" w:cs="宋体"/>
                <w:kern w:val="0"/>
                <w:sz w:val="21"/>
                <w:szCs w:val="21"/>
              </w:rPr>
              <w:t>体未按规定办理变更登记，情节严重，拒不整改的。</w:t>
            </w:r>
          </w:p>
        </w:tc>
        <w:tc>
          <w:tcPr>
            <w:tcW w:w="612" w:type="pct"/>
            <w:noWrap/>
            <w:vAlign w:val="center"/>
          </w:tcPr>
          <w:p w14:paraId="2DE74E5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吊销法人登记证书，有非法财物的，予以没收。</w:t>
            </w:r>
          </w:p>
        </w:tc>
      </w:tr>
      <w:tr w14:paraId="79343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168" w:hRule="exact"/>
          <w:jc w:val="center"/>
        </w:trPr>
        <w:tc>
          <w:tcPr>
            <w:tcW w:w="197" w:type="pct"/>
            <w:noWrap/>
            <w:vAlign w:val="center"/>
          </w:tcPr>
          <w:p w14:paraId="7B5D327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39</w:t>
            </w:r>
          </w:p>
        </w:tc>
        <w:tc>
          <w:tcPr>
            <w:tcW w:w="1054" w:type="pct"/>
            <w:gridSpan w:val="2"/>
            <w:noWrap/>
            <w:vAlign w:val="center"/>
          </w:tcPr>
          <w:p w14:paraId="3EBD0ED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宗教活动场所未建立有关管理制度或者管理制度不符合要求。</w:t>
            </w:r>
          </w:p>
        </w:tc>
        <w:tc>
          <w:tcPr>
            <w:tcW w:w="940" w:type="pct"/>
            <w:noWrap/>
            <w:vAlign w:val="center"/>
          </w:tcPr>
          <w:p w14:paraId="5E49769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第二十六条：宗教活动场所应当加强内部管理，依照有关法律、法规、规章的规定，建立健全人员、财务、资产、会计、治安、消防、文物保护、卫生防疫等管理制度，接受当地人民政府有关部门的指导、监督、检查。</w:t>
            </w:r>
          </w:p>
        </w:tc>
        <w:tc>
          <w:tcPr>
            <w:tcW w:w="929" w:type="pct"/>
            <w:noWrap/>
            <w:vAlign w:val="center"/>
          </w:tcPr>
          <w:p w14:paraId="704F299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第六十五条：宗教团体、宗教院校、宗教活动场所有下列行为之一的，由宗教事务部门责令改正；情节较重的，由登记管理机关或者批准设立机关责令该宗教团体、宗教院校、宗教活动场所撤换直接负责的主管人员；情节严重的，由登记管理机关或者批准设立机关责令停止日常活动，改组管理组织，限期整改，拒不整改的，依法吊销其登记证书或者设立许可；有违法所得、非法财物的，予以没收：</w:t>
            </w:r>
          </w:p>
          <w:p w14:paraId="775C7E1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62EC08C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（三）宗教活动场所违反本条例第二十六条规定，未建立有关管理制度或者管理制度不符合要求的。</w:t>
            </w:r>
          </w:p>
          <w:p w14:paraId="1F8B52E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0C32855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442B0E7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宗教活动场所未建立有关管理制度或者管理制度不符合要求，情节严重，宗教事务部门认为应当吊销其法人登记证书。</w:t>
            </w:r>
          </w:p>
        </w:tc>
        <w:tc>
          <w:tcPr>
            <w:tcW w:w="612" w:type="pct"/>
            <w:noWrap/>
            <w:vAlign w:val="center"/>
          </w:tcPr>
          <w:p w14:paraId="08B083E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吊销法人登记证书，有非法财物的，予以没收。</w:t>
            </w:r>
          </w:p>
        </w:tc>
      </w:tr>
      <w:tr w14:paraId="3046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168" w:hRule="exact"/>
          <w:jc w:val="center"/>
        </w:trPr>
        <w:tc>
          <w:tcPr>
            <w:tcW w:w="197" w:type="pct"/>
            <w:noWrap/>
            <w:vAlign w:val="center"/>
          </w:tcPr>
          <w:p w14:paraId="619EAFD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40</w:t>
            </w:r>
          </w:p>
        </w:tc>
        <w:tc>
          <w:tcPr>
            <w:tcW w:w="1054" w:type="pct"/>
            <w:gridSpan w:val="2"/>
            <w:noWrap/>
            <w:vAlign w:val="center"/>
          </w:tcPr>
          <w:p w14:paraId="6615078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宗教活动场所将用于宗教活动的房屋、构筑物及其附属的宗教教职人员生活用房转让、抵押或者作为实物投资。</w:t>
            </w:r>
          </w:p>
        </w:tc>
        <w:tc>
          <w:tcPr>
            <w:tcW w:w="940" w:type="pct"/>
            <w:noWrap/>
            <w:vAlign w:val="center"/>
          </w:tcPr>
          <w:p w14:paraId="2A8F505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《宗教事务条例》第五十四条：宗教活动场所用于宗教活动的房屋、构筑物及其附属的宗教教职人员生活用房不得转让、抵押或者作为实物投资。</w:t>
            </w:r>
            <w:r>
              <w:rPr>
                <w:rFonts w:hint="eastAsia" w:hAnsi="宋体" w:cs="宋体"/>
                <w:color w:val="000000" w:themeColor="text1"/>
                <w:kern w:val="0"/>
                <w:sz w:val="21"/>
                <w:szCs w:val="21"/>
                <w14:textFill>
                  <w14:solidFill>
                    <w14:schemeClr w14:val="tx1"/>
                  </w14:solidFill>
                </w14:textFill>
              </w:rPr>
              <w:br w:type="page"/>
            </w:r>
          </w:p>
        </w:tc>
        <w:tc>
          <w:tcPr>
            <w:tcW w:w="929" w:type="pct"/>
            <w:noWrap/>
            <w:vAlign w:val="center"/>
          </w:tcPr>
          <w:p w14:paraId="1FF7D93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第六十五条：宗教团体、宗教院校、宗教活动场所有下列行为之一的，由宗教事务部门责令改正；情节较重的，由登记管理机关或者批准设立机关责令该宗教团体、宗教院校、宗教活动场所撤换直接负责的主管人员；情节严重的，由登记管理机关或者批准设立机关责令停止日常活动，改组管理组织，限期整改，拒不整改的，依法吊销其登记证书或者设立许可；有违法所得、非法财物的，予以没收：</w:t>
            </w:r>
            <w:r>
              <w:rPr>
                <w:rFonts w:hint="eastAsia" w:hAnsi="宋体" w:cs="宋体"/>
                <w:color w:val="000000" w:themeColor="text1"/>
                <w:kern w:val="0"/>
                <w:sz w:val="21"/>
                <w:szCs w:val="21"/>
                <w14:textFill>
                  <w14:solidFill>
                    <w14:schemeClr w14:val="tx1"/>
                  </w14:solidFill>
                </w14:textFill>
              </w:rPr>
              <w:br w:type="page"/>
            </w:r>
          </w:p>
          <w:p w14:paraId="2DB5978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r>
              <w:rPr>
                <w:rFonts w:hint="eastAsia" w:hAnsi="宋体" w:cs="宋体"/>
                <w:color w:val="000000" w:themeColor="text1"/>
                <w:kern w:val="0"/>
                <w:sz w:val="21"/>
                <w:szCs w:val="21"/>
                <w14:textFill>
                  <w14:solidFill>
                    <w14:schemeClr w14:val="tx1"/>
                  </w14:solidFill>
                </w14:textFill>
              </w:rPr>
              <w:br w:type="page"/>
            </w:r>
          </w:p>
          <w:p w14:paraId="1E5C738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（四）宗教活动场所违反本条例第五十四条规定，将用于宗教活动的房屋、构筑物及其附属的宗教教职人员生活用房转让、抵押或者作为实物投资的。</w:t>
            </w:r>
          </w:p>
          <w:p w14:paraId="2D34221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6726B88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6AD07BA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宗教活动场所将用于宗教活动的房屋、构筑物及其附属的宗教教职人员生活用房转让、抵押或者作为实物投资，情节严重，宗教事务部门认为应当吊销其法人登记证书。</w:t>
            </w:r>
          </w:p>
        </w:tc>
        <w:tc>
          <w:tcPr>
            <w:tcW w:w="612" w:type="pct"/>
            <w:noWrap/>
            <w:vAlign w:val="center"/>
          </w:tcPr>
          <w:p w14:paraId="6B36CC1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吊销法人登记证书，有非法财物的，予以没收。</w:t>
            </w:r>
          </w:p>
        </w:tc>
      </w:tr>
      <w:tr w14:paraId="4E3F2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206" w:hRule="exact"/>
          <w:jc w:val="center"/>
        </w:trPr>
        <w:tc>
          <w:tcPr>
            <w:tcW w:w="197" w:type="pct"/>
            <w:noWrap/>
            <w:vAlign w:val="center"/>
          </w:tcPr>
          <w:p w14:paraId="7D4572D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41</w:t>
            </w:r>
          </w:p>
        </w:tc>
        <w:tc>
          <w:tcPr>
            <w:tcW w:w="1054" w:type="pct"/>
            <w:gridSpan w:val="2"/>
            <w:noWrap/>
            <w:vAlign w:val="center"/>
          </w:tcPr>
          <w:p w14:paraId="310B67C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宗教活动场所内发生重大事故、重大事件未及时报告，造成严重后果。</w:t>
            </w:r>
          </w:p>
        </w:tc>
        <w:tc>
          <w:tcPr>
            <w:tcW w:w="940" w:type="pct"/>
            <w:noWrap/>
            <w:vAlign w:val="center"/>
          </w:tcPr>
          <w:p w14:paraId="6A0FA64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第二十九条：宗教活动场所应当防范本场所内发生重大事故或者发生违犯宗教禁忌等伤害信教公民宗教感情、破坏民族团结、影响社会稳定的事件。发生前款所列事故或者事件时，宗教活动场所应当立即报告所在地的县级人民政府宗教事务部门。</w:t>
            </w:r>
          </w:p>
        </w:tc>
        <w:tc>
          <w:tcPr>
            <w:tcW w:w="929" w:type="pct"/>
            <w:noWrap/>
            <w:vAlign w:val="center"/>
          </w:tcPr>
          <w:p w14:paraId="59447D1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第六十五条：宗教团体、宗教院校、宗教活动场所有下列行为之一的，由宗教事务部门责令改正；情节较重的，由登记管理机关或者批准设立机关责令该宗教团体、宗教院校、宗教活动场所撤换直接负责的主管人员；情节严重的，由登记管理机关或者批准设立机关责令停止日常活动，改组管理组织，限期整改，拒不整改的，依法吊销其登记证书或者设立许可；有违法所得、非法财物的，予以没收：</w:t>
            </w:r>
          </w:p>
          <w:p w14:paraId="37157BD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223F392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（五）宗教活动场所内发生重大事故、重大事件未及时报告，造成严重后果的。</w:t>
            </w:r>
          </w:p>
          <w:p w14:paraId="4739F38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5C4A1B6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19E9AF3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宗教活动场所内发生重大事故、重大事件未及时报告，造成严重不良影响，宗教事务部门认为应当吊销其法人登记证书。</w:t>
            </w:r>
          </w:p>
        </w:tc>
        <w:tc>
          <w:tcPr>
            <w:tcW w:w="612" w:type="pct"/>
            <w:noWrap/>
            <w:vAlign w:val="center"/>
          </w:tcPr>
          <w:p w14:paraId="2DC6455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吊销法人登记证书，有非法财物的，予以没收。</w:t>
            </w:r>
          </w:p>
        </w:tc>
      </w:tr>
      <w:tr w14:paraId="11C1F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218" w:hRule="exact"/>
          <w:jc w:val="center"/>
        </w:trPr>
        <w:tc>
          <w:tcPr>
            <w:tcW w:w="197" w:type="pct"/>
            <w:noWrap/>
            <w:vAlign w:val="center"/>
          </w:tcPr>
          <w:p w14:paraId="540B33F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42</w:t>
            </w:r>
          </w:p>
        </w:tc>
        <w:tc>
          <w:tcPr>
            <w:tcW w:w="1054" w:type="pct"/>
            <w:gridSpan w:val="2"/>
            <w:noWrap/>
            <w:vAlign w:val="center"/>
          </w:tcPr>
          <w:p w14:paraId="551AB93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宗教团体、宗教活动场所违背宗教的独立自主自办原则。</w:t>
            </w:r>
          </w:p>
        </w:tc>
        <w:tc>
          <w:tcPr>
            <w:tcW w:w="940" w:type="pct"/>
            <w:noWrap/>
            <w:vAlign w:val="center"/>
          </w:tcPr>
          <w:p w14:paraId="1A8E504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《宗教事务条例》第五条：各宗教坚持独立自主自办的原则，宗教团体、宗教院校、宗教活动场所和宗教事务不受外国势力的支配。</w:t>
            </w:r>
          </w:p>
        </w:tc>
        <w:tc>
          <w:tcPr>
            <w:tcW w:w="929" w:type="pct"/>
            <w:noWrap/>
            <w:vAlign w:val="center"/>
          </w:tcPr>
          <w:p w14:paraId="44D8AE6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第六十五条：宗教团体、宗教院校、宗教活动场所有下列行为之一的，由宗教事务部门责令改正；情节较重的，由登记管理机关或者批准设立机关责令该宗教团体、宗教院校、宗教活动场所撤换直接负责的主管人员；情节严重的，由登记管理机关或者批准设立机关责令停止日常活动，改组管理组织，限期整改，拒不整改的，依法吊销其登记证书或者设立许可；有违法所得、非法财物的，予以没收：</w:t>
            </w:r>
          </w:p>
          <w:p w14:paraId="0A2A7C3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3EF8455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（六）违反本条例第五条规定，违背宗教的独立自主自办原则的。</w:t>
            </w:r>
          </w:p>
          <w:p w14:paraId="348BADF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77421B7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49261BC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宗教团体、宗教活动场违背宗教的独立自主自办原则，情节严重，宗教事务部门认为应当吊销其法人登记证书。</w:t>
            </w:r>
          </w:p>
        </w:tc>
        <w:tc>
          <w:tcPr>
            <w:tcW w:w="612" w:type="pct"/>
            <w:noWrap/>
            <w:vAlign w:val="center"/>
          </w:tcPr>
          <w:p w14:paraId="1B29204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吊销法人登记证书，有非法财物的，予以没收。</w:t>
            </w:r>
          </w:p>
        </w:tc>
      </w:tr>
      <w:tr w14:paraId="6A77E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164" w:hRule="exact"/>
          <w:jc w:val="center"/>
        </w:trPr>
        <w:tc>
          <w:tcPr>
            <w:tcW w:w="197" w:type="pct"/>
            <w:noWrap/>
            <w:vAlign w:val="center"/>
          </w:tcPr>
          <w:p w14:paraId="03D3213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43</w:t>
            </w:r>
          </w:p>
        </w:tc>
        <w:tc>
          <w:tcPr>
            <w:tcW w:w="1054" w:type="pct"/>
            <w:gridSpan w:val="2"/>
            <w:noWrap/>
            <w:vAlign w:val="center"/>
          </w:tcPr>
          <w:p w14:paraId="2DBAB07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宗教团体、宗教活动场违反国家有关规定接受境内外捐赠。</w:t>
            </w:r>
          </w:p>
        </w:tc>
        <w:tc>
          <w:tcPr>
            <w:tcW w:w="940" w:type="pct"/>
            <w:noWrap/>
            <w:vAlign w:val="center"/>
          </w:tcPr>
          <w:p w14:paraId="05060D5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第五十七条：宗教团体、宗教院校、宗教活动场所可以按照国家有关规定接受境内外组织和个人的捐赠，用于与其宗旨相符的活动。宗教团体、宗教院校、宗教活动场所不得接受境外组织和个人附带条件的捐赠，接受捐赠金额超过10万元的，应当报县级以上人民政府宗教事务部门审批。宗教团体、宗教院校、宗教活动场所可以按照宗教习惯接受公民的捐赠，但不得强迫或者摊派。</w:t>
            </w:r>
          </w:p>
        </w:tc>
        <w:tc>
          <w:tcPr>
            <w:tcW w:w="929" w:type="pct"/>
            <w:noWrap/>
            <w:vAlign w:val="center"/>
          </w:tcPr>
          <w:p w14:paraId="5B3A318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第六十五条：宗教团体、宗教院校、宗教活动场所有下列行为之一的，由宗教事务部门责令改正；情节较重的，由登记管理机关或者批准设立机关责令该宗教团体、宗教院校、宗教活动场所撤换直接负责的主管人员；情节严重的，由登记管理机关或者批准设立机关责令停止日常活动，改组管理组织，限期整改，拒不整改的，依法吊销其登记证书或者设立许可；有违法所得、非法财物的，予以没收：</w:t>
            </w:r>
          </w:p>
          <w:p w14:paraId="13953FE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210CACF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（七）违反国家有关规定接受境内外捐赠的。</w:t>
            </w:r>
          </w:p>
          <w:p w14:paraId="04CE51F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4D6E19E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1B0A980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宗教团体、宗教活动场违反国家有关规定接受境内外捐赠，情节严重，宗教事务部门认为应当吊销其法人登记证书。</w:t>
            </w:r>
          </w:p>
        </w:tc>
        <w:tc>
          <w:tcPr>
            <w:tcW w:w="612" w:type="pct"/>
            <w:noWrap/>
            <w:vAlign w:val="center"/>
          </w:tcPr>
          <w:p w14:paraId="6161951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吊销法人登记证书，有非法财物的，予以没收。</w:t>
            </w:r>
          </w:p>
        </w:tc>
      </w:tr>
      <w:tr w14:paraId="4EEC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164" w:hRule="exact"/>
          <w:jc w:val="center"/>
        </w:trPr>
        <w:tc>
          <w:tcPr>
            <w:tcW w:w="197" w:type="pct"/>
            <w:noWrap/>
            <w:vAlign w:val="center"/>
          </w:tcPr>
          <w:p w14:paraId="1ED78DE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44</w:t>
            </w:r>
          </w:p>
        </w:tc>
        <w:tc>
          <w:tcPr>
            <w:tcW w:w="1054" w:type="pct"/>
            <w:gridSpan w:val="2"/>
            <w:noWrap/>
            <w:vAlign w:val="center"/>
          </w:tcPr>
          <w:p w14:paraId="2A16812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宗教团体、宗教活动场所拒不接受行政管理机关依法实施的监督管理。</w:t>
            </w:r>
          </w:p>
        </w:tc>
        <w:tc>
          <w:tcPr>
            <w:tcW w:w="940" w:type="pct"/>
            <w:noWrap/>
            <w:vAlign w:val="center"/>
          </w:tcPr>
          <w:p w14:paraId="3547CF5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第二十七条：宗教事务部门应当对宗教活动场所遵守法律、法规、规章情况，建立和执行场所管理制度情况，登记项目变更情况，以及宗教活动和涉外活动情况进行监督检查。宗教活动场所应当接受宗教事务部门的监督检查。</w:t>
            </w:r>
          </w:p>
        </w:tc>
        <w:tc>
          <w:tcPr>
            <w:tcW w:w="929" w:type="pct"/>
            <w:noWrap/>
            <w:vAlign w:val="center"/>
          </w:tcPr>
          <w:p w14:paraId="13AB069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第六十五条：宗教团体、宗教院校、宗教活动场所有下列行为之一的，由宗教事务部门责令改正；情节较重的，由登记管理机关或者批准设立机关责令该宗教团体、宗教院校、宗教活动场所撤换直接负责的主管人员；情节严重的，由登记管理机关或者批准设立机关责令停止日常活动，改组管理组织，限期整改，拒不整改的，依法吊销其登记证书或者设立许可；有违法所得、非法财物的，予以没收：</w:t>
            </w:r>
          </w:p>
          <w:p w14:paraId="595C9B1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6A10494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（八）拒不接受行政管理机关依法实施的监督管理的。</w:t>
            </w:r>
          </w:p>
        </w:tc>
        <w:tc>
          <w:tcPr>
            <w:tcW w:w="237" w:type="pct"/>
            <w:noWrap/>
            <w:vAlign w:val="center"/>
          </w:tcPr>
          <w:p w14:paraId="341A75E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42D33FB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宗教团体、宗教活动场所拒不接受行政管理机关依法实施的监督管理，情节严重，宗教事务部门认为应当吊销其法人登记证书。</w:t>
            </w:r>
          </w:p>
        </w:tc>
        <w:tc>
          <w:tcPr>
            <w:tcW w:w="612" w:type="pct"/>
            <w:noWrap/>
            <w:vAlign w:val="center"/>
          </w:tcPr>
          <w:p w14:paraId="78ED4EE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吊销法人登记证书，有非法财物的，予以没收。</w:t>
            </w:r>
          </w:p>
        </w:tc>
      </w:tr>
      <w:tr w14:paraId="7A20B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418" w:hRule="atLeast"/>
          <w:jc w:val="center"/>
        </w:trPr>
        <w:tc>
          <w:tcPr>
            <w:tcW w:w="197" w:type="pct"/>
            <w:noWrap/>
            <w:vAlign w:val="center"/>
          </w:tcPr>
          <w:p w14:paraId="62DF338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45</w:t>
            </w:r>
          </w:p>
        </w:tc>
        <w:tc>
          <w:tcPr>
            <w:tcW w:w="1054" w:type="pct"/>
            <w:gridSpan w:val="2"/>
            <w:noWrap/>
            <w:vAlign w:val="center"/>
          </w:tcPr>
          <w:p w14:paraId="0BF2426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宗教团体、宗教活动场所严重违反国家有关财务、会计、资产、税收管理规定。</w:t>
            </w:r>
          </w:p>
        </w:tc>
        <w:tc>
          <w:tcPr>
            <w:tcW w:w="940" w:type="pct"/>
            <w:noWrap/>
            <w:vAlign w:val="center"/>
          </w:tcPr>
          <w:p w14:paraId="72DDAFDB">
            <w:pPr>
              <w:adjustRightInd w:val="0"/>
              <w:snapToGrid w:val="0"/>
              <w:spacing w:line="256"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w:t>
            </w:r>
          </w:p>
          <w:p w14:paraId="377D1FDF">
            <w:pPr>
              <w:adjustRightInd w:val="0"/>
              <w:snapToGrid w:val="0"/>
              <w:spacing w:line="256"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五十八条：宗教团体、宗教院校、宗教活动场所应当执行国家统一的财务、资产、会计制度，向所在地的县级以上人民政府宗教事务部门报告财务状况、收支情况和接受、使用捐赠情况，接受其监督管理，并以适当方式向信教公民公布。宗教事务部门应当与有关部门共享相关管理信息。宗教团体、宗教院校、宗教活动场所应当按照国家有关财务、会计制度，建立健全会计核算、财务报告、财务公开等制度，建立健全财务管理机构，配备必要的财务会计人员，加强财务管理。政府有关部门可以组织对宗教团体、宗教院校、宗教活动场所进行财务、资产检查和审计。</w:t>
            </w:r>
          </w:p>
          <w:p w14:paraId="4A73F669">
            <w:pPr>
              <w:adjustRightInd w:val="0"/>
              <w:snapToGrid w:val="0"/>
              <w:spacing w:line="256"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第五十九条：宗教团体、宗教院校、宗教活动场所应当依法办理</w:t>
            </w:r>
            <w:r>
              <w:rPr>
                <w:rFonts w:hint="eastAsia" w:hAnsi="宋体" w:cs="宋体"/>
                <w:color w:val="000000" w:themeColor="text1"/>
                <w:spacing w:val="-6"/>
                <w:kern w:val="0"/>
                <w:sz w:val="21"/>
                <w:szCs w:val="21"/>
                <w14:textFill>
                  <w14:solidFill>
                    <w14:schemeClr w14:val="tx1"/>
                  </w14:solidFill>
                </w14:textFill>
              </w:rPr>
              <w:t>税务登记。宗教团体、宗教院校、宗教活动场所和宗教教职人员应当依法办理纳税申报，按照国家有关规定享受税收</w:t>
            </w:r>
            <w:r>
              <w:rPr>
                <w:rFonts w:hint="eastAsia" w:hAnsi="宋体" w:cs="宋体"/>
                <w:color w:val="000000" w:themeColor="text1"/>
                <w:kern w:val="0"/>
                <w:sz w:val="21"/>
                <w:szCs w:val="21"/>
                <w14:textFill>
                  <w14:solidFill>
                    <w14:schemeClr w14:val="tx1"/>
                  </w14:solidFill>
                </w14:textFill>
              </w:rPr>
              <w:t>优惠。税务部门应当依法对宗教团体、宗教院校、宗教活动场所和宗教教职人员实施税收管理。</w:t>
            </w:r>
          </w:p>
        </w:tc>
        <w:tc>
          <w:tcPr>
            <w:tcW w:w="929" w:type="pct"/>
            <w:noWrap/>
            <w:vAlign w:val="center"/>
          </w:tcPr>
          <w:p w14:paraId="6563385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事务条例》第六十七条：宗教团体、宗教院校、宗教活动场所违反国家有关财务、会计、资产、税收管理规定的，由财政、税务等部门依据相关规定进行处罚；情节严重的，经财政、税务部门提出，由登记管理机关或者批准设立机关吊销其登记证书或者设立许可。</w:t>
            </w:r>
          </w:p>
        </w:tc>
        <w:tc>
          <w:tcPr>
            <w:tcW w:w="237" w:type="pct"/>
            <w:noWrap/>
            <w:vAlign w:val="center"/>
          </w:tcPr>
          <w:p w14:paraId="072F9DD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08A85CD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宗教团体、宗教活动场所严重违反国家有关财务、会计、资产、税收管理规定，财政、税务部门建议吊销其法人登记证书。</w:t>
            </w:r>
          </w:p>
        </w:tc>
        <w:tc>
          <w:tcPr>
            <w:tcW w:w="612" w:type="pct"/>
            <w:noWrap/>
            <w:vAlign w:val="center"/>
          </w:tcPr>
          <w:p w14:paraId="2B2D245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吊销法人登记证书。</w:t>
            </w:r>
          </w:p>
        </w:tc>
      </w:tr>
      <w:tr w14:paraId="5181A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exact"/>
          <w:jc w:val="center"/>
        </w:trPr>
        <w:tc>
          <w:tcPr>
            <w:tcW w:w="5000" w:type="pct"/>
            <w:gridSpan w:val="8"/>
            <w:noWrap/>
            <w:vAlign w:val="center"/>
          </w:tcPr>
          <w:p w14:paraId="6C62E369">
            <w:pPr>
              <w:adjustRightInd w:val="0"/>
              <w:snapToGrid w:val="0"/>
              <w:rPr>
                <w:rFonts w:ascii="黑体" w:hAnsi="黑体" w:eastAsia="黑体" w:cs="宋体"/>
                <w:color w:val="000000" w:themeColor="text1"/>
                <w:kern w:val="0"/>
                <w:sz w:val="21"/>
                <w:szCs w:val="21"/>
                <w14:textFill>
                  <w14:solidFill>
                    <w14:schemeClr w14:val="tx1"/>
                  </w14:solidFill>
                </w14:textFill>
              </w:rPr>
            </w:pPr>
            <w:r>
              <w:rPr>
                <w:rFonts w:hint="eastAsia" w:ascii="黑体" w:hAnsi="黑体" w:eastAsia="黑体" w:cs="宋体"/>
                <w:color w:val="000000" w:themeColor="text1"/>
                <w:kern w:val="0"/>
                <w:sz w:val="21"/>
                <w:szCs w:val="21"/>
                <w14:textFill>
                  <w14:solidFill>
                    <w14:schemeClr w14:val="tx1"/>
                  </w14:solidFill>
                </w14:textFill>
              </w:rPr>
              <w:t>五、社会救助管理工作</w:t>
            </w:r>
          </w:p>
        </w:tc>
      </w:tr>
      <w:tr w14:paraId="6CF4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37" w:hRule="atLeast"/>
          <w:jc w:val="center"/>
        </w:trPr>
        <w:tc>
          <w:tcPr>
            <w:tcW w:w="197" w:type="pct"/>
            <w:vMerge w:val="restart"/>
            <w:noWrap/>
            <w:vAlign w:val="center"/>
          </w:tcPr>
          <w:p w14:paraId="412B368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46</w:t>
            </w:r>
          </w:p>
        </w:tc>
        <w:tc>
          <w:tcPr>
            <w:tcW w:w="1054" w:type="pct"/>
            <w:gridSpan w:val="2"/>
            <w:vMerge w:val="restart"/>
            <w:noWrap/>
            <w:vAlign w:val="center"/>
          </w:tcPr>
          <w:p w14:paraId="615FB2C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采取虚报、隐瞒、伪造等手段，骗取社会救助资金、物资或者服务。</w:t>
            </w:r>
          </w:p>
        </w:tc>
        <w:tc>
          <w:tcPr>
            <w:tcW w:w="940" w:type="pct"/>
            <w:vMerge w:val="restart"/>
            <w:noWrap/>
            <w:vAlign w:val="center"/>
          </w:tcPr>
          <w:p w14:paraId="1D1767E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《中华人民共和国社会救助法》第四十条：申请社会救助，应当如实报告共同生活的家庭成员个人基本信息和家庭收入、财产、刚性支出等与申请社会救助相关的情况，并同意社会救助管理部门进行核查。</w:t>
            </w:r>
          </w:p>
          <w:p w14:paraId="216CA1A3">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restart"/>
            <w:noWrap/>
            <w:vAlign w:val="center"/>
          </w:tcPr>
          <w:p w14:paraId="740407E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中华人民共和国社会救助法》第七十三条：采取虚报、隐瞒、伪造等手段，骗取社会救助资金、物资或者服务的，社会救助管理部门可以责令退回非法获取的财物和利益，处非法获取的财物和利益价值二倍以下的罚款；对社会救助对象可以决定调减、停止社会救助。违反其他法律、行政法规的，由有关主管部门依法处理。</w:t>
            </w:r>
          </w:p>
        </w:tc>
        <w:tc>
          <w:tcPr>
            <w:tcW w:w="237" w:type="pct"/>
            <w:noWrap/>
            <w:vAlign w:val="center"/>
          </w:tcPr>
          <w:p w14:paraId="590B520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免予处罚</w:t>
            </w:r>
          </w:p>
        </w:tc>
        <w:tc>
          <w:tcPr>
            <w:tcW w:w="1028" w:type="pct"/>
            <w:noWrap/>
            <w:vAlign w:val="center"/>
          </w:tcPr>
          <w:p w14:paraId="6BFFF239">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11999EF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1.初次违法，危害后果轻微，主动退回非法骗取救助款物；</w:t>
            </w:r>
            <w:r>
              <w:rPr>
                <w:rFonts w:hint="eastAsia" w:hAnsi="宋体" w:cs="宋体"/>
                <w:color w:val="000000" w:themeColor="text1"/>
                <w:kern w:val="0"/>
                <w:sz w:val="21"/>
                <w:szCs w:val="21"/>
                <w14:textFill>
                  <w14:solidFill>
                    <w14:schemeClr w14:val="tx1"/>
                  </w14:solidFill>
                </w14:textFill>
              </w:rPr>
              <w:br w:type="textWrapping"/>
            </w:r>
            <w:r>
              <w:rPr>
                <w:rFonts w:hint="eastAsia" w:hAnsi="宋体" w:cs="宋体"/>
                <w:color w:val="000000" w:themeColor="text1"/>
                <w:kern w:val="0"/>
                <w:sz w:val="21"/>
                <w:szCs w:val="21"/>
                <w14:textFill>
                  <w14:solidFill>
                    <w14:schemeClr w14:val="tx1"/>
                  </w14:solidFill>
                </w14:textFill>
              </w:rPr>
              <w:t>2.违法行为轻微，主动退回非法骗取救助款物，没有造成危害后果。</w:t>
            </w:r>
          </w:p>
        </w:tc>
        <w:tc>
          <w:tcPr>
            <w:tcW w:w="612" w:type="pct"/>
            <w:noWrap/>
            <w:vAlign w:val="center"/>
          </w:tcPr>
          <w:p w14:paraId="244E1F0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免予处罚。</w:t>
            </w:r>
          </w:p>
        </w:tc>
      </w:tr>
      <w:tr w14:paraId="25192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37" w:hRule="atLeast"/>
          <w:jc w:val="center"/>
        </w:trPr>
        <w:tc>
          <w:tcPr>
            <w:tcW w:w="197" w:type="pct"/>
            <w:vMerge w:val="continue"/>
            <w:vAlign w:val="center"/>
          </w:tcPr>
          <w:p w14:paraId="076EC0F5">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918347B">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1D76E551">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027289D6">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36A8D3F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4598C10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经责令后未及时交回骗取款物，造成一定不良影响。</w:t>
            </w:r>
          </w:p>
        </w:tc>
        <w:tc>
          <w:tcPr>
            <w:tcW w:w="612" w:type="pct"/>
            <w:noWrap/>
            <w:vAlign w:val="center"/>
          </w:tcPr>
          <w:p w14:paraId="18D0380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处非法获取的财物和利益价值一倍以下的罚款。</w:t>
            </w:r>
          </w:p>
        </w:tc>
      </w:tr>
      <w:tr w14:paraId="0B5B6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37" w:hRule="atLeast"/>
          <w:jc w:val="center"/>
        </w:trPr>
        <w:tc>
          <w:tcPr>
            <w:tcW w:w="197" w:type="pct"/>
            <w:vMerge w:val="continue"/>
            <w:vAlign w:val="center"/>
          </w:tcPr>
          <w:p w14:paraId="5300F361">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13AA165E">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0A79923C">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1D784E9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31D3F86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5D065C0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经责令后拒不交回骗取款物，造成严重不良影响。</w:t>
            </w:r>
          </w:p>
        </w:tc>
        <w:tc>
          <w:tcPr>
            <w:tcW w:w="612" w:type="pct"/>
            <w:noWrap/>
            <w:vAlign w:val="center"/>
          </w:tcPr>
          <w:p w14:paraId="0105912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处非法获取的财物和利益价值超过一倍、二倍以下的罚款。</w:t>
            </w:r>
          </w:p>
        </w:tc>
      </w:tr>
      <w:tr w14:paraId="10959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187" w:hRule="atLeast"/>
          <w:jc w:val="center"/>
        </w:trPr>
        <w:tc>
          <w:tcPr>
            <w:tcW w:w="197" w:type="pct"/>
            <w:vMerge w:val="restart"/>
            <w:noWrap/>
            <w:vAlign w:val="center"/>
          </w:tcPr>
          <w:p w14:paraId="41F15DA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47</w:t>
            </w:r>
          </w:p>
        </w:tc>
        <w:tc>
          <w:tcPr>
            <w:tcW w:w="1054" w:type="pct"/>
            <w:gridSpan w:val="2"/>
            <w:vMerge w:val="restart"/>
            <w:noWrap/>
            <w:vAlign w:val="center"/>
          </w:tcPr>
          <w:p w14:paraId="4DD98F7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违反规定，截留、挪用、私分社会救助资金、物资。</w:t>
            </w:r>
          </w:p>
        </w:tc>
        <w:tc>
          <w:tcPr>
            <w:tcW w:w="940" w:type="pct"/>
            <w:vMerge w:val="restart"/>
            <w:noWrap/>
            <w:vAlign w:val="center"/>
          </w:tcPr>
          <w:p w14:paraId="7FA7E74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中华人民共和国社会救助法》第六条：县级以上人民政府应当将社会救助工作列入国民经济和社会发展规划。地方各级人民政府应当结合经济社会发展水平和财力状况合理安排社会救助资金，实施预算绩效管理，资金支付按照国库集中支付管理有关规定执行。</w:t>
            </w:r>
          </w:p>
        </w:tc>
        <w:tc>
          <w:tcPr>
            <w:tcW w:w="929" w:type="pct"/>
            <w:vMerge w:val="restart"/>
            <w:noWrap/>
            <w:vAlign w:val="center"/>
          </w:tcPr>
          <w:p w14:paraId="7882ABC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中华人民共和国社会救助法》第七十一条：违反本法规定，截留、挪用、私分社会救助资金、物资的，由有关部门责令限期改正；对负有责任的领导人员和直接责任人员依法给予处分；有违法所得的，没收违法所得；对有关组织、个人可以处违法所得二倍以下的罚款。</w:t>
            </w:r>
          </w:p>
          <w:p w14:paraId="3FE71B4A">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FE460C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免于处罚</w:t>
            </w:r>
          </w:p>
        </w:tc>
        <w:tc>
          <w:tcPr>
            <w:tcW w:w="1028" w:type="pct"/>
            <w:noWrap/>
            <w:vAlign w:val="center"/>
          </w:tcPr>
          <w:p w14:paraId="4F103566">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25B6FE1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1.初次违法，危害后果轻微，主动退回截留、挪用、私分救助款物；</w:t>
            </w:r>
          </w:p>
          <w:p w14:paraId="075A914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如有违法所得的，主动退回违法所得；</w:t>
            </w:r>
          </w:p>
          <w:p w14:paraId="766543F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2.违法行为轻微，主动退回截留、挪用、私分救助款物；如有违法所得的，主动退回违法所得没有造成危害后果。</w:t>
            </w:r>
          </w:p>
        </w:tc>
        <w:tc>
          <w:tcPr>
            <w:tcW w:w="612" w:type="pct"/>
            <w:noWrap/>
            <w:vAlign w:val="center"/>
          </w:tcPr>
          <w:p w14:paraId="6819903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免予处罚。</w:t>
            </w:r>
          </w:p>
        </w:tc>
      </w:tr>
      <w:tr w14:paraId="03826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13" w:hRule="atLeast"/>
          <w:jc w:val="center"/>
        </w:trPr>
        <w:tc>
          <w:tcPr>
            <w:tcW w:w="197" w:type="pct"/>
            <w:vMerge w:val="continue"/>
            <w:noWrap/>
            <w:vAlign w:val="center"/>
          </w:tcPr>
          <w:p w14:paraId="5CBD1EEC">
            <w:pPr>
              <w:adjustRightInd w:val="0"/>
              <w:snapToGrid w:val="0"/>
              <w:jc w:val="center"/>
            </w:pPr>
          </w:p>
        </w:tc>
        <w:tc>
          <w:tcPr>
            <w:tcW w:w="1054" w:type="pct"/>
            <w:gridSpan w:val="2"/>
            <w:vMerge w:val="continue"/>
            <w:noWrap/>
            <w:vAlign w:val="center"/>
          </w:tcPr>
          <w:p w14:paraId="2703C080">
            <w:pPr>
              <w:adjustRightInd w:val="0"/>
              <w:snapToGrid w:val="0"/>
            </w:pPr>
          </w:p>
        </w:tc>
        <w:tc>
          <w:tcPr>
            <w:tcW w:w="940" w:type="pct"/>
            <w:vMerge w:val="continue"/>
            <w:noWrap/>
            <w:vAlign w:val="center"/>
          </w:tcPr>
          <w:p w14:paraId="548A648B">
            <w:pPr>
              <w:adjustRightInd w:val="0"/>
              <w:snapToGrid w:val="0"/>
            </w:pPr>
          </w:p>
        </w:tc>
        <w:tc>
          <w:tcPr>
            <w:tcW w:w="929" w:type="pct"/>
            <w:vMerge w:val="continue"/>
            <w:noWrap/>
            <w:vAlign w:val="center"/>
          </w:tcPr>
          <w:p w14:paraId="376726BC">
            <w:pPr>
              <w:adjustRightInd w:val="0"/>
              <w:snapToGrid w:val="0"/>
            </w:pPr>
          </w:p>
        </w:tc>
        <w:tc>
          <w:tcPr>
            <w:tcW w:w="237" w:type="pct"/>
            <w:noWrap/>
            <w:vAlign w:val="center"/>
          </w:tcPr>
          <w:p w14:paraId="3A27D46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0D5EE98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kern w:val="0"/>
                <w:sz w:val="21"/>
                <w:szCs w:val="21"/>
              </w:rPr>
              <w:t>经责令后未及时交回截留、挪用、私分救助款物，造成一定不良影响。</w:t>
            </w:r>
          </w:p>
        </w:tc>
        <w:tc>
          <w:tcPr>
            <w:tcW w:w="612" w:type="pct"/>
            <w:noWrap/>
            <w:vAlign w:val="center"/>
          </w:tcPr>
          <w:p w14:paraId="108F579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kern w:val="0"/>
                <w:sz w:val="21"/>
                <w:szCs w:val="21"/>
              </w:rPr>
              <w:t>如有违法所得，对有关组织、个人可以处违法所得一倍以下的罚款。</w:t>
            </w:r>
          </w:p>
        </w:tc>
      </w:tr>
      <w:tr w14:paraId="42E37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35" w:hRule="atLeast"/>
          <w:jc w:val="center"/>
        </w:trPr>
        <w:tc>
          <w:tcPr>
            <w:tcW w:w="197" w:type="pct"/>
            <w:vMerge w:val="continue"/>
            <w:noWrap/>
            <w:vAlign w:val="center"/>
          </w:tcPr>
          <w:p w14:paraId="2DB1B221">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noWrap/>
            <w:vAlign w:val="center"/>
          </w:tcPr>
          <w:p w14:paraId="4BB28A13">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noWrap/>
            <w:vAlign w:val="center"/>
          </w:tcPr>
          <w:p w14:paraId="2C41FFCB">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noWrap/>
            <w:vAlign w:val="center"/>
          </w:tcPr>
          <w:p w14:paraId="22766D1E">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00084E1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7BBF464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kern w:val="0"/>
                <w:sz w:val="21"/>
                <w:szCs w:val="21"/>
              </w:rPr>
              <w:t>经责令后拒不交回截留、挪用、私分救助款物，造成严重不良影响。</w:t>
            </w:r>
          </w:p>
        </w:tc>
        <w:tc>
          <w:tcPr>
            <w:tcW w:w="612" w:type="pct"/>
            <w:noWrap/>
            <w:vAlign w:val="center"/>
          </w:tcPr>
          <w:p w14:paraId="498F43D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kern w:val="0"/>
                <w:sz w:val="21"/>
                <w:szCs w:val="21"/>
              </w:rPr>
              <w:t>如有违法所得，对有关组织、个人可以处违法所得超过一倍、二倍以下的罚款。</w:t>
            </w:r>
          </w:p>
        </w:tc>
      </w:tr>
      <w:tr w14:paraId="6B4CE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exact"/>
          <w:jc w:val="center"/>
        </w:trPr>
        <w:tc>
          <w:tcPr>
            <w:tcW w:w="5000" w:type="pct"/>
            <w:gridSpan w:val="8"/>
            <w:noWrap/>
            <w:vAlign w:val="center"/>
          </w:tcPr>
          <w:p w14:paraId="7E182C12">
            <w:pPr>
              <w:adjustRightInd w:val="0"/>
              <w:snapToGrid w:val="0"/>
              <w:rPr>
                <w:rFonts w:ascii="黑体" w:hAnsi="黑体" w:eastAsia="黑体" w:cs="宋体"/>
                <w:color w:val="000000" w:themeColor="text1"/>
                <w:kern w:val="0"/>
                <w:sz w:val="21"/>
                <w:szCs w:val="21"/>
                <w14:textFill>
                  <w14:solidFill>
                    <w14:schemeClr w14:val="tx1"/>
                  </w14:solidFill>
                </w14:textFill>
              </w:rPr>
            </w:pPr>
            <w:r>
              <w:rPr>
                <w:rFonts w:hint="eastAsia" w:ascii="黑体" w:hAnsi="黑体" w:eastAsia="黑体" w:cs="宋体"/>
                <w:color w:val="000000" w:themeColor="text1"/>
                <w:kern w:val="0"/>
                <w:sz w:val="21"/>
                <w:szCs w:val="21"/>
                <w14:textFill>
                  <w14:solidFill>
                    <w14:schemeClr w14:val="tx1"/>
                  </w14:solidFill>
                </w14:textFill>
              </w:rPr>
              <w:t>六、慈善工作</w:t>
            </w:r>
          </w:p>
        </w:tc>
      </w:tr>
      <w:tr w14:paraId="325F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120" w:hRule="exact"/>
          <w:jc w:val="center"/>
        </w:trPr>
        <w:tc>
          <w:tcPr>
            <w:tcW w:w="197" w:type="pct"/>
            <w:vMerge w:val="restart"/>
            <w:noWrap/>
            <w:vAlign w:val="center"/>
          </w:tcPr>
          <w:p w14:paraId="7B74163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48</w:t>
            </w:r>
          </w:p>
        </w:tc>
        <w:tc>
          <w:tcPr>
            <w:tcW w:w="1054" w:type="pct"/>
            <w:gridSpan w:val="2"/>
            <w:vMerge w:val="restart"/>
            <w:noWrap/>
            <w:vAlign w:val="center"/>
          </w:tcPr>
          <w:p w14:paraId="2107943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慈善组织未按照慈善宗旨开展活动。</w:t>
            </w:r>
          </w:p>
        </w:tc>
        <w:tc>
          <w:tcPr>
            <w:tcW w:w="940" w:type="pct"/>
            <w:vMerge w:val="restart"/>
            <w:noWrap/>
            <w:vAlign w:val="center"/>
          </w:tcPr>
          <w:p w14:paraId="383305E0">
            <w:pPr>
              <w:adjustRightInd w:val="0"/>
              <w:snapToGrid w:val="0"/>
              <w:rPr>
                <w:rFonts w:hAnsi="宋体" w:cs="宋体"/>
                <w:color w:val="000000"/>
                <w:sz w:val="21"/>
                <w:szCs w:val="21"/>
                <w:shd w:val="clear" w:color="auto" w:fill="FFFFFF"/>
              </w:rPr>
            </w:pPr>
            <w:r>
              <w:rPr>
                <w:rFonts w:hint="eastAsia" w:hAnsi="宋体" w:cs="宋体"/>
                <w:color w:val="000000" w:themeColor="text1"/>
                <w:kern w:val="0"/>
                <w:sz w:val="21"/>
                <w:szCs w:val="21"/>
                <w14:textFill>
                  <w14:solidFill>
                    <w14:schemeClr w14:val="tx1"/>
                  </w14:solidFill>
                </w14:textFill>
              </w:rPr>
              <w:t>《慈善法》</w:t>
            </w:r>
            <w:r>
              <w:rPr>
                <w:rFonts w:hint="eastAsia" w:hAnsi="宋体" w:cs="宋体"/>
                <w:color w:val="000000"/>
                <w:sz w:val="21"/>
                <w:szCs w:val="21"/>
                <w:shd w:val="clear" w:color="auto" w:fill="FFFFFF"/>
              </w:rPr>
              <w:t>第三条：本法所称慈善活动，是指自然人、法人和非法人组织以捐赠财产或者提供服务等方式，自愿开展的下列公益活动：（一）扶贫、济困；（二）扶老、救孤、恤病、助残、优抚；（三）救助自然灾害、事故灾难和公共卫生事件等突发事件造成的损害；（四）促进教育、科学、文化、卫生、体育等事业的发展；（五）防治污染和其他公害，保护和改善生态环境；（六）符合本法规定的其他公益活动。</w:t>
            </w:r>
          </w:p>
          <w:p w14:paraId="00FD79E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sz w:val="21"/>
                <w:szCs w:val="21"/>
                <w:shd w:val="clear" w:color="auto" w:fill="FFFFFF"/>
              </w:rPr>
              <w:t>第九条：慈善组织应当符合下列条件：（一）以开展慈善活动为宗旨；（二）不以营利为目的；（三）有自己的名称和住所；（四）有组织章程；（五）有必要的财产；（六）有符合条件的组织机构和负责人；（七）法律、行政法规规定的其他条件。</w:t>
            </w:r>
          </w:p>
        </w:tc>
        <w:tc>
          <w:tcPr>
            <w:tcW w:w="929" w:type="pct"/>
            <w:vMerge w:val="restart"/>
            <w:noWrap/>
            <w:vAlign w:val="center"/>
          </w:tcPr>
          <w:p w14:paraId="762A344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《慈善法》第一百零九条：慈善组织有下列情形之一的，由县级以上人民政府民政部门责令限期改正，予以警告或者责令限期停止活动，并没收违法所得；情节严重的，吊销登记证书并予以公告：</w:t>
            </w:r>
            <w:r>
              <w:rPr>
                <w:rFonts w:hint="eastAsia" w:hAnsi="宋体" w:cs="宋体"/>
                <w:color w:val="000000" w:themeColor="text1"/>
                <w:kern w:val="0"/>
                <w:sz w:val="21"/>
                <w:szCs w:val="21"/>
                <w14:textFill>
                  <w14:solidFill>
                    <w14:schemeClr w14:val="tx1"/>
                  </w14:solidFill>
                </w14:textFill>
              </w:rPr>
              <w:br w:type="textWrapping"/>
            </w:r>
            <w:r>
              <w:rPr>
                <w:rFonts w:hint="eastAsia" w:hAnsi="宋体" w:cs="宋体"/>
                <w:color w:val="000000" w:themeColor="text1"/>
                <w:kern w:val="0"/>
                <w:sz w:val="21"/>
                <w:szCs w:val="21"/>
                <w14:textFill>
                  <w14:solidFill>
                    <w14:schemeClr w14:val="tx1"/>
                  </w14:solidFill>
                </w14:textFill>
              </w:rPr>
              <w:t>（一）未按照慈善宗旨开展活动的；</w:t>
            </w:r>
          </w:p>
          <w:p w14:paraId="2B7707D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06B2B77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p w14:paraId="57A6740E">
            <w:pPr>
              <w:adjustRightInd w:val="0"/>
              <w:snapToGrid w:val="0"/>
              <w:ind w:firstLine="420" w:firstLineChars="200"/>
              <w:rPr>
                <w:rFonts w:hAnsi="宋体" w:cs="宋体"/>
                <w:color w:val="000000" w:themeColor="text1"/>
                <w:kern w:val="0"/>
                <w:sz w:val="21"/>
                <w:szCs w:val="21"/>
                <w14:textFill>
                  <w14:solidFill>
                    <w14:schemeClr w14:val="tx1"/>
                  </w14:solidFill>
                </w14:textFill>
              </w:rPr>
            </w:pPr>
          </w:p>
        </w:tc>
        <w:tc>
          <w:tcPr>
            <w:tcW w:w="237" w:type="pct"/>
            <w:noWrap/>
            <w:vAlign w:val="center"/>
          </w:tcPr>
          <w:p w14:paraId="7D9EE3B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7FD9AC3D">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443CDB4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1.未按照慈善宗旨开展活动，违法所得数额十万元以下（含没有违法所得）；</w:t>
            </w:r>
          </w:p>
          <w:p w14:paraId="3D6E54B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2.社会不良影响较小或能主动消除（减轻）危害后果；</w:t>
            </w:r>
          </w:p>
          <w:p w14:paraId="6333E6A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3.其他情节较轻。</w:t>
            </w:r>
          </w:p>
        </w:tc>
        <w:tc>
          <w:tcPr>
            <w:tcW w:w="612" w:type="pct"/>
            <w:noWrap/>
            <w:vAlign w:val="center"/>
          </w:tcPr>
          <w:p w14:paraId="4527DFD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65AAE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622" w:hRule="exact"/>
          <w:jc w:val="center"/>
        </w:trPr>
        <w:tc>
          <w:tcPr>
            <w:tcW w:w="197" w:type="pct"/>
            <w:vMerge w:val="continue"/>
            <w:vAlign w:val="center"/>
          </w:tcPr>
          <w:p w14:paraId="2E565709">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2591718F">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1BA76D1C">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5174938">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DEFF82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4EDD577A">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08923B2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1.未按照慈善宗旨开展活动，违法所得十万元以上五十万元以下；</w:t>
            </w:r>
          </w:p>
          <w:p w14:paraId="3BE4AAC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2.2年内曾因未按照慈善宗旨开展活动受到过警告的行政处罚；</w:t>
            </w:r>
          </w:p>
          <w:p w14:paraId="4D49124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3.造成较大不良社会影响，或者有其他情节较重情形。</w:t>
            </w:r>
          </w:p>
        </w:tc>
        <w:tc>
          <w:tcPr>
            <w:tcW w:w="612" w:type="pct"/>
            <w:noWrap/>
            <w:vAlign w:val="center"/>
          </w:tcPr>
          <w:p w14:paraId="7AF0BBA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责令限期停止活动（1-6个月）；对直接负责的主管人员和其他直接责任人员处五万元以上不超过十万元罚款；没收违法所得。</w:t>
            </w:r>
          </w:p>
        </w:tc>
      </w:tr>
      <w:tr w14:paraId="68EEC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924" w:hRule="exact"/>
          <w:jc w:val="center"/>
        </w:trPr>
        <w:tc>
          <w:tcPr>
            <w:tcW w:w="197" w:type="pct"/>
            <w:vMerge w:val="continue"/>
            <w:vAlign w:val="center"/>
          </w:tcPr>
          <w:p w14:paraId="4A6FF1DF">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0883BF7A">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57FF5F2C">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828B0B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B201E0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16E93B65">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5905CF1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1.未按照慈善宗旨开展活动，违法所得五十万元以上；</w:t>
            </w:r>
          </w:p>
          <w:p w14:paraId="5FA12AB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2.2年内曾因未按照慈善宗旨开展活动受到过责令限期停止活动的行政处罚；</w:t>
            </w:r>
          </w:p>
          <w:p w14:paraId="3AB9E47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3.造成严重不良社会影响，或者有其他情节严重情形。</w:t>
            </w:r>
          </w:p>
        </w:tc>
        <w:tc>
          <w:tcPr>
            <w:tcW w:w="612" w:type="pct"/>
            <w:noWrap/>
            <w:vAlign w:val="center"/>
          </w:tcPr>
          <w:p w14:paraId="7720A3A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吊销登记证书；对直接负责的主管人员和其他直接责任人员处十万元以上二十万元以下罚款，禁止其一年至五年内担任慈善组织的管理人员；没收违法所得。</w:t>
            </w:r>
          </w:p>
        </w:tc>
      </w:tr>
      <w:tr w14:paraId="03951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228" w:hRule="exact"/>
          <w:jc w:val="center"/>
        </w:trPr>
        <w:tc>
          <w:tcPr>
            <w:tcW w:w="197" w:type="pct"/>
            <w:vMerge w:val="restart"/>
            <w:noWrap/>
            <w:vAlign w:val="center"/>
          </w:tcPr>
          <w:p w14:paraId="772C4B9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49</w:t>
            </w:r>
          </w:p>
        </w:tc>
        <w:tc>
          <w:tcPr>
            <w:tcW w:w="1054" w:type="pct"/>
            <w:gridSpan w:val="2"/>
            <w:vMerge w:val="restart"/>
            <w:noWrap/>
            <w:vAlign w:val="center"/>
          </w:tcPr>
          <w:p w14:paraId="2772832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慈善组织私分、挪用、截留或者侵占慈善财产。</w:t>
            </w:r>
          </w:p>
        </w:tc>
        <w:tc>
          <w:tcPr>
            <w:tcW w:w="940" w:type="pct"/>
            <w:vMerge w:val="restart"/>
            <w:noWrap/>
            <w:vAlign w:val="center"/>
          </w:tcPr>
          <w:p w14:paraId="1BCC05E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《慈善法》第五十三条第二款：任何组织和个人不得私分、挪用、截留或者侵占慈善财产。</w:t>
            </w:r>
          </w:p>
        </w:tc>
        <w:tc>
          <w:tcPr>
            <w:tcW w:w="929" w:type="pct"/>
            <w:vMerge w:val="restart"/>
            <w:noWrap/>
            <w:vAlign w:val="center"/>
          </w:tcPr>
          <w:p w14:paraId="1E3E4E1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《慈善法》第一百零九条：慈善组织有下列情形之一的，由县级以上人民政府民政部门责令限期改正，予以警告或者责令限期停止活动，并没收违法所得；情节严重的，吊销登记证书并予以公告：</w:t>
            </w:r>
          </w:p>
          <w:p w14:paraId="56619B9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3077B1F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（二）私分、挪用、截留或者侵占慈善财产的；</w:t>
            </w:r>
          </w:p>
          <w:p w14:paraId="0AD3293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4094BC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7F36C4F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7CE09F27">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164BC39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1.私分、挪用、截留或者侵占慈善财产数额在五十万元以下；</w:t>
            </w:r>
          </w:p>
          <w:p w14:paraId="4E2B98A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2.社会不良影响较小或能主动消除（减轻）危害后果；</w:t>
            </w:r>
          </w:p>
          <w:p w14:paraId="1FA6C2B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3.其他情节较轻。</w:t>
            </w:r>
          </w:p>
        </w:tc>
        <w:tc>
          <w:tcPr>
            <w:tcW w:w="612" w:type="pct"/>
            <w:noWrap/>
            <w:vAlign w:val="center"/>
          </w:tcPr>
          <w:p w14:paraId="72C4EBB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77B90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946" w:hRule="exact"/>
          <w:jc w:val="center"/>
        </w:trPr>
        <w:tc>
          <w:tcPr>
            <w:tcW w:w="197" w:type="pct"/>
            <w:vMerge w:val="continue"/>
            <w:vAlign w:val="center"/>
          </w:tcPr>
          <w:p w14:paraId="046DFF4F">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19F0912B">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15AD17D1">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CB26DC2">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A5A373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33A26FC4">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1816FA3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1.私分、挪用、截留或者侵占慈善财产数额在五十万元以上二百万元以下；</w:t>
            </w:r>
          </w:p>
          <w:p w14:paraId="2901423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2.2年内曾因私分、挪用、截留或者侵占慈善财产，受到过警告的行政处罚；</w:t>
            </w:r>
          </w:p>
          <w:p w14:paraId="5B1FBD8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3.造成较大不良社会影响，或者有其他情节较重情形。</w:t>
            </w:r>
          </w:p>
        </w:tc>
        <w:tc>
          <w:tcPr>
            <w:tcW w:w="612" w:type="pct"/>
            <w:noWrap/>
            <w:vAlign w:val="center"/>
          </w:tcPr>
          <w:p w14:paraId="683A818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责令限期停止活动（1-6个月）；对直接负责的主管人员和其他直接责任人员处五万元以上不超过十万元罚款；没收违法所得。</w:t>
            </w:r>
          </w:p>
        </w:tc>
      </w:tr>
      <w:tr w14:paraId="1629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939" w:hRule="exact"/>
          <w:jc w:val="center"/>
        </w:trPr>
        <w:tc>
          <w:tcPr>
            <w:tcW w:w="197" w:type="pct"/>
            <w:vMerge w:val="continue"/>
            <w:vAlign w:val="center"/>
          </w:tcPr>
          <w:p w14:paraId="1DC985C5">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49D646C1">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6354626D">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E7DD0E1">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3B93234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1E8EA9C3">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6E57BF1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1.私分、挪用、截留或者侵占慈善财产数额在二百万元以上；</w:t>
            </w:r>
          </w:p>
          <w:p w14:paraId="2A5788F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2.2年内曾因私分、挪用、截留或者侵占慈善财产，受到过责令限期停止活动的行政处罚；</w:t>
            </w:r>
          </w:p>
          <w:p w14:paraId="7497A0E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3.造成严重不良社会影响，或者有其他情节严重情形。</w:t>
            </w:r>
          </w:p>
        </w:tc>
        <w:tc>
          <w:tcPr>
            <w:tcW w:w="612" w:type="pct"/>
            <w:noWrap/>
            <w:vAlign w:val="center"/>
          </w:tcPr>
          <w:p w14:paraId="5A38407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吊销登记证书；对直接负责的主管人员和其他直接责任人员处十万元以上二十万元以下罚款，禁止其一年至五年内担任慈善组织的管理人员；没收违法所得。</w:t>
            </w:r>
          </w:p>
        </w:tc>
      </w:tr>
      <w:tr w14:paraId="6BF5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67" w:hRule="exact"/>
          <w:jc w:val="center"/>
        </w:trPr>
        <w:tc>
          <w:tcPr>
            <w:tcW w:w="197" w:type="pct"/>
            <w:vMerge w:val="restart"/>
            <w:noWrap/>
            <w:vAlign w:val="center"/>
          </w:tcPr>
          <w:p w14:paraId="74E4C50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50</w:t>
            </w:r>
          </w:p>
        </w:tc>
        <w:tc>
          <w:tcPr>
            <w:tcW w:w="1054" w:type="pct"/>
            <w:gridSpan w:val="2"/>
            <w:vMerge w:val="restart"/>
            <w:noWrap/>
            <w:vAlign w:val="center"/>
          </w:tcPr>
          <w:p w14:paraId="34C10A9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慈善组织接受附加违反法律法规或者违背社会公德条件的捐赠。</w:t>
            </w:r>
          </w:p>
        </w:tc>
        <w:tc>
          <w:tcPr>
            <w:tcW w:w="940" w:type="pct"/>
            <w:vMerge w:val="restart"/>
            <w:noWrap/>
            <w:vAlign w:val="center"/>
          </w:tcPr>
          <w:p w14:paraId="477676F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《慈善法》第十五条：慈善组织不得从事、资助危害国家安全和社会公共利益的活动，不得接受附加违反法律法规和违背社会公德条件的捐赠，不得对受益人附加违反法律法规和违背社会公德的条件。</w:t>
            </w:r>
          </w:p>
        </w:tc>
        <w:tc>
          <w:tcPr>
            <w:tcW w:w="929" w:type="pct"/>
            <w:vMerge w:val="restart"/>
            <w:noWrap/>
            <w:vAlign w:val="center"/>
          </w:tcPr>
          <w:p w14:paraId="1A1DD9C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《慈善法》第一百零九条：慈善组织有下列情形之一的，由县级以上人民政府民政部门责令限期改正，予以警告或者责令限期停止活动，并没收违法所得；情节严重的，吊销登记证书并予以公告：</w:t>
            </w:r>
          </w:p>
          <w:p w14:paraId="3451339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663DBCD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（三）接受附加违反法律法规或者违背社会公德条件的捐赠，或者对受益人附加违反法律法规或者违背社会公德的条件的；</w:t>
            </w:r>
          </w:p>
          <w:p w14:paraId="10AFE54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02685EC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70F2333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35DC8BA2">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280CA6C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1.接受附加违反法律法规或者违背社会公德条件的捐赠数额在五十万元以下；</w:t>
            </w:r>
          </w:p>
          <w:p w14:paraId="1D4820D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2.社会不良影响较小或能主动消除（减轻）危害后果；</w:t>
            </w:r>
          </w:p>
          <w:p w14:paraId="77D952C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3.其他情节较轻。</w:t>
            </w:r>
          </w:p>
        </w:tc>
        <w:tc>
          <w:tcPr>
            <w:tcW w:w="612" w:type="pct"/>
            <w:noWrap/>
            <w:vAlign w:val="center"/>
          </w:tcPr>
          <w:p w14:paraId="3EBCA26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1996C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191" w:hRule="exact"/>
          <w:jc w:val="center"/>
        </w:trPr>
        <w:tc>
          <w:tcPr>
            <w:tcW w:w="197" w:type="pct"/>
            <w:vMerge w:val="continue"/>
            <w:vAlign w:val="center"/>
          </w:tcPr>
          <w:p w14:paraId="140A9C20">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1F03F57D">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0AB2BD0B">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1A8D767D">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CFA899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4C269288">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4B7CDAA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1.接受附加违反法律法规或者违背社会公德条件的捐赠数额在五十万元以上二百万元以下；</w:t>
            </w:r>
          </w:p>
          <w:p w14:paraId="7E8456C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2.2年内曾因接受附加违反法律法规或者违背社会公德条件的捐赠受到过警告的行政处罚；</w:t>
            </w:r>
          </w:p>
          <w:p w14:paraId="2DC412E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3.造成较大不良社会影响，或者有其他情节较重情形。</w:t>
            </w:r>
          </w:p>
        </w:tc>
        <w:tc>
          <w:tcPr>
            <w:tcW w:w="612" w:type="pct"/>
            <w:noWrap/>
            <w:vAlign w:val="center"/>
          </w:tcPr>
          <w:p w14:paraId="496D1B3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责令限期停止活动（1-6个月）；对直接负责的主管人员和其他直接责任人员处五万元以上不超过十万元罚款；没收违法所得。</w:t>
            </w:r>
          </w:p>
        </w:tc>
      </w:tr>
      <w:tr w14:paraId="3753E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014" w:hRule="exact"/>
          <w:jc w:val="center"/>
        </w:trPr>
        <w:tc>
          <w:tcPr>
            <w:tcW w:w="197" w:type="pct"/>
            <w:vMerge w:val="continue"/>
            <w:vAlign w:val="center"/>
          </w:tcPr>
          <w:p w14:paraId="3FF8E8E7">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1A89C5B6">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2175C0C6">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EE98DD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79A632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7E82B8A4">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3A6A6FE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1.接受附加违反法律法规或者违背社会公德条件的捐赠数额在二百万元以上；</w:t>
            </w:r>
          </w:p>
          <w:p w14:paraId="4A99947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2.2年内曾因接受附加违反法律法规或者违背社会公德条件的捐赠，受到过责令限期停止活动的行政处罚；</w:t>
            </w:r>
          </w:p>
          <w:p w14:paraId="239C978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3.造成严重不良社会影响，或者有其他情节严重情形。</w:t>
            </w:r>
          </w:p>
        </w:tc>
        <w:tc>
          <w:tcPr>
            <w:tcW w:w="612" w:type="pct"/>
            <w:noWrap/>
            <w:vAlign w:val="center"/>
          </w:tcPr>
          <w:p w14:paraId="72CBF2F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吊销登记证书；对直接负责的主管人员和其他直接责任人员处十万元以上二十万元以下罚款，禁止其一年至五年内担任慈善组织的管理人员；没收违法所得。</w:t>
            </w:r>
          </w:p>
        </w:tc>
      </w:tr>
      <w:tr w14:paraId="77A1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30" w:hRule="exact"/>
          <w:jc w:val="center"/>
        </w:trPr>
        <w:tc>
          <w:tcPr>
            <w:tcW w:w="197" w:type="pct"/>
            <w:vMerge w:val="restart"/>
            <w:noWrap/>
            <w:vAlign w:val="center"/>
          </w:tcPr>
          <w:p w14:paraId="366AC5F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51</w:t>
            </w:r>
          </w:p>
        </w:tc>
        <w:tc>
          <w:tcPr>
            <w:tcW w:w="1054" w:type="pct"/>
            <w:gridSpan w:val="2"/>
            <w:vMerge w:val="restart"/>
            <w:noWrap/>
            <w:vAlign w:val="center"/>
          </w:tcPr>
          <w:p w14:paraId="5B5A550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慈善组织对受益人附加违反法律法规或者违背社会公德的条件。</w:t>
            </w:r>
          </w:p>
        </w:tc>
        <w:tc>
          <w:tcPr>
            <w:tcW w:w="940" w:type="pct"/>
            <w:vMerge w:val="restart"/>
            <w:noWrap/>
            <w:vAlign w:val="center"/>
          </w:tcPr>
          <w:p w14:paraId="52FBF1F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《慈善法》第十五条：慈善组织不得从事、资助危害国家安全和社会公共利益的活动，不得接受附加违反法律法规和违背社会公德条件的捐赠，不得对受益人附加违反法律法规和违背社会公德的条件。</w:t>
            </w:r>
          </w:p>
        </w:tc>
        <w:tc>
          <w:tcPr>
            <w:tcW w:w="929" w:type="pct"/>
            <w:vMerge w:val="restart"/>
            <w:noWrap/>
            <w:vAlign w:val="center"/>
          </w:tcPr>
          <w:p w14:paraId="0B58DCC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《慈善法》第一百零九条：慈善组织有下列情形之一的，由县级以上人民政府民政部门责令限期改正，予以警告或者责令限期停止活动，并没收违法所得；情节严重的，吊销登记证书并予以公告：</w:t>
            </w:r>
          </w:p>
          <w:p w14:paraId="3F9DBAB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3BAF115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（三）接受附加违反法律法规或者违背社会公德条件的捐赠，或者对受益人附加违反法律法规或者违背社会公德的条件的；</w:t>
            </w:r>
          </w:p>
          <w:p w14:paraId="765BA28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46E7B95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7EB4605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70B10A7C">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0B8D01A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1.对受益人附加违反法律法规或者违背社会公德的条件相关情节较轻；</w:t>
            </w:r>
          </w:p>
          <w:p w14:paraId="28F02B0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2.社会不良影响较小或能主动消除（减轻）危害后果。</w:t>
            </w:r>
          </w:p>
        </w:tc>
        <w:tc>
          <w:tcPr>
            <w:tcW w:w="612" w:type="pct"/>
            <w:noWrap/>
            <w:vAlign w:val="center"/>
          </w:tcPr>
          <w:p w14:paraId="0E6C75A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131BB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692" w:hRule="exact"/>
          <w:jc w:val="center"/>
        </w:trPr>
        <w:tc>
          <w:tcPr>
            <w:tcW w:w="197" w:type="pct"/>
            <w:vMerge w:val="continue"/>
            <w:vAlign w:val="center"/>
          </w:tcPr>
          <w:p w14:paraId="2A2DB269">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48C80970">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175FD318">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345AB538">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6E995E7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72780018">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6E0C3A2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1.2年内曾因对受益人附加违反法律法规或者违背社会公德的条件，受到过警告的行政处罚；</w:t>
            </w:r>
          </w:p>
          <w:p w14:paraId="0F2FE4A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2.造成较大不良社会影响，或者有其他情节较重情形。</w:t>
            </w:r>
          </w:p>
        </w:tc>
        <w:tc>
          <w:tcPr>
            <w:tcW w:w="612" w:type="pct"/>
            <w:noWrap/>
            <w:vAlign w:val="center"/>
          </w:tcPr>
          <w:p w14:paraId="3C55C26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责令限期停止活动（1-6个月）；对直接负责的主管人员和其他直接责任人员处五万元以上不超过十万元罚款；没收违法所得。</w:t>
            </w:r>
          </w:p>
        </w:tc>
      </w:tr>
      <w:tr w14:paraId="30457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092" w:hRule="exact"/>
          <w:jc w:val="center"/>
        </w:trPr>
        <w:tc>
          <w:tcPr>
            <w:tcW w:w="197" w:type="pct"/>
            <w:vMerge w:val="continue"/>
            <w:vAlign w:val="center"/>
          </w:tcPr>
          <w:p w14:paraId="225A1FE6">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1413DB02">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61F02330">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2D1847C">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3E887E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000A0A26">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具有以下情形之一</w:t>
            </w:r>
            <w:r>
              <w:rPr>
                <w:rFonts w:hint="eastAsia" w:hAnsi="宋体" w:cs="宋体"/>
                <w:color w:val="000000" w:themeColor="text1"/>
                <w:kern w:val="0"/>
                <w:sz w:val="21"/>
                <w:szCs w:val="21"/>
                <w14:textFill>
                  <w14:solidFill>
                    <w14:schemeClr w14:val="tx1"/>
                  </w14:solidFill>
                </w14:textFill>
              </w:rPr>
              <w:t>：</w:t>
            </w:r>
          </w:p>
          <w:p w14:paraId="04AA88C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1.2年内曾因对受益人附加违反法律法规或者违背社会公德的条件，受到过责令限期停止活动的行政处罚；</w:t>
            </w:r>
          </w:p>
          <w:p w14:paraId="19300AB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2.造成严重不良社会影响，或者有其他情节严重情形。</w:t>
            </w:r>
          </w:p>
        </w:tc>
        <w:tc>
          <w:tcPr>
            <w:tcW w:w="612" w:type="pct"/>
            <w:noWrap/>
            <w:vAlign w:val="center"/>
          </w:tcPr>
          <w:p w14:paraId="07955E5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吊销登记证书；对直接负责的主管人员和其他直接责任人员处十万元以上二十万元以下罚款，禁止其一年至五年内担任慈善组织的管理人员；没收违法所得。</w:t>
            </w:r>
          </w:p>
        </w:tc>
      </w:tr>
      <w:tr w14:paraId="1B34A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795" w:hRule="exact"/>
          <w:jc w:val="center"/>
        </w:trPr>
        <w:tc>
          <w:tcPr>
            <w:tcW w:w="197" w:type="pct"/>
            <w:vMerge w:val="restart"/>
            <w:noWrap/>
            <w:vAlign w:val="center"/>
          </w:tcPr>
          <w:p w14:paraId="6FABBF5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52</w:t>
            </w:r>
          </w:p>
        </w:tc>
        <w:tc>
          <w:tcPr>
            <w:tcW w:w="1054" w:type="pct"/>
            <w:gridSpan w:val="2"/>
            <w:vMerge w:val="restart"/>
            <w:noWrap/>
            <w:vAlign w:val="center"/>
          </w:tcPr>
          <w:p w14:paraId="15157C9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违反《慈善法》第十四条规定（慈善组织的发起人、主要捐赠人以及管理人员利用其关联关系损害慈善组织、受益人的利益和社会公共利益，或者参与和慈善组织发生的交易行为的决策，未向社会公开有关交易情况等），造成</w:t>
            </w:r>
            <w:r>
              <w:rPr>
                <w:rFonts w:hint="eastAsia" w:hAnsi="宋体" w:cs="宋体"/>
                <w:kern w:val="0"/>
                <w:sz w:val="21"/>
                <w:szCs w:val="21"/>
              </w:rPr>
              <w:t>慈善</w:t>
            </w:r>
            <w:r>
              <w:rPr>
                <w:rFonts w:hint="eastAsia" w:hAnsi="宋体" w:cs="宋体"/>
                <w:color w:val="000000" w:themeColor="text1"/>
                <w:kern w:val="0"/>
                <w:sz w:val="21"/>
                <w:szCs w:val="21"/>
                <w14:textFill>
                  <w14:solidFill>
                    <w14:schemeClr w14:val="tx1"/>
                  </w14:solidFill>
                </w14:textFill>
              </w:rPr>
              <w:t>财产损失。</w:t>
            </w:r>
          </w:p>
        </w:tc>
        <w:tc>
          <w:tcPr>
            <w:tcW w:w="940" w:type="pct"/>
            <w:vMerge w:val="restart"/>
            <w:noWrap/>
            <w:vAlign w:val="center"/>
          </w:tcPr>
          <w:p w14:paraId="500929A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《慈善法》第十四条：慈善组织的发起人、主要捐赠人以及管理人员，不得利用其关联关系损害慈善组织、受益人的利益和社会公共利益。</w:t>
            </w:r>
          </w:p>
          <w:p w14:paraId="07E29BD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慈善组织的发起人、主要捐赠人以及管理人员与慈善组织发生交易行为的，不得参与慈善组织有关该交易行为的决策，有关交易情况应当向社会公开。</w:t>
            </w:r>
          </w:p>
        </w:tc>
        <w:tc>
          <w:tcPr>
            <w:tcW w:w="929" w:type="pct"/>
            <w:vMerge w:val="restart"/>
            <w:noWrap/>
            <w:vAlign w:val="center"/>
          </w:tcPr>
          <w:p w14:paraId="165A3AC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《慈善法》第一百一十条：慈善组织有下列情形之一的，由县级以上人民政府民政部门责令限期改正，予以警告，并没收违法所得；逾期不改正的，责令限期停止活动并进行整改：</w:t>
            </w:r>
          </w:p>
          <w:p w14:paraId="19FBCC4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（一）违反本法第十四条规定造成慈善财产损失的；</w:t>
            </w:r>
          </w:p>
          <w:p w14:paraId="27B9F00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w:t>
            </w:r>
          </w:p>
          <w:p w14:paraId="37A9A36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慈善组织有前两款规定的情形，经依法处理后一年内再出现前款规定的情形，或者有其他情节严重情形的，由县级</w:t>
            </w:r>
            <w:r>
              <w:rPr>
                <w:rFonts w:hAnsi="宋体" w:cs="宋体"/>
                <w:color w:val="000000" w:themeColor="text1"/>
                <w:kern w:val="0"/>
                <w:sz w:val="21"/>
                <w:szCs w:val="21"/>
                <w14:textFill>
                  <w14:solidFill>
                    <w14:schemeClr w14:val="tx1"/>
                  </w14:solidFill>
                </w14:textFill>
              </w:rPr>
              <w:t>以上人民政府</w:t>
            </w:r>
            <w:r>
              <w:rPr>
                <w:rFonts w:hint="eastAsia" w:hAnsi="宋体" w:cs="宋体"/>
                <w:color w:val="000000" w:themeColor="text1"/>
                <w:kern w:val="0"/>
                <w:sz w:val="21"/>
                <w:szCs w:val="21"/>
                <w14:textFill>
                  <w14:solidFill>
                    <w14:schemeClr w14:val="tx1"/>
                  </w14:solidFill>
                </w14:textFill>
              </w:rPr>
              <w:t>民政部门吊销登记证书并予以公告。</w:t>
            </w:r>
          </w:p>
          <w:p w14:paraId="0266766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r>
              <w:rPr>
                <w:rFonts w:hint="eastAsia" w:hAnsi="宋体" w:cs="宋体"/>
                <w:color w:val="000000" w:themeColor="text1"/>
                <w:kern w:val="0"/>
                <w:sz w:val="21"/>
                <w:szCs w:val="21"/>
                <w14:textFill>
                  <w14:solidFill>
                    <w14:schemeClr w14:val="tx1"/>
                  </w14:solidFill>
                </w14:textFill>
              </w:rPr>
              <w:br w:type="page"/>
            </w:r>
          </w:p>
        </w:tc>
        <w:tc>
          <w:tcPr>
            <w:tcW w:w="237" w:type="pct"/>
            <w:noWrap/>
            <w:vAlign w:val="center"/>
          </w:tcPr>
          <w:p w14:paraId="76A2956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71C67E4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违反《慈善法》第十四条规定造成慈善财产损失。</w:t>
            </w:r>
          </w:p>
        </w:tc>
        <w:tc>
          <w:tcPr>
            <w:tcW w:w="612" w:type="pct"/>
            <w:noWrap/>
            <w:vAlign w:val="center"/>
          </w:tcPr>
          <w:p w14:paraId="35C4C6F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5F0E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39" w:hRule="exact"/>
          <w:jc w:val="center"/>
        </w:trPr>
        <w:tc>
          <w:tcPr>
            <w:tcW w:w="197" w:type="pct"/>
            <w:vMerge w:val="continue"/>
            <w:vAlign w:val="center"/>
          </w:tcPr>
          <w:p w14:paraId="03E426B7">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084D0661">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3B25E523">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7A7B1316">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65A39DF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4322C21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违反《慈善法》第十四条规定造成慈善财产损失，受到警告的行政处罚并被责令限期改正，逾期未改正。</w:t>
            </w:r>
          </w:p>
        </w:tc>
        <w:tc>
          <w:tcPr>
            <w:tcW w:w="612" w:type="pct"/>
            <w:noWrap/>
            <w:vAlign w:val="center"/>
          </w:tcPr>
          <w:p w14:paraId="3F16BC7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责令限期停止活动（1-6个月）；对直接负责的主管人员和其他直接责任人员处五万元以上不超过十万元；没收违法所得。</w:t>
            </w:r>
          </w:p>
        </w:tc>
      </w:tr>
      <w:tr w14:paraId="0EE0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48" w:hRule="exact"/>
          <w:jc w:val="center"/>
        </w:trPr>
        <w:tc>
          <w:tcPr>
            <w:tcW w:w="197" w:type="pct"/>
            <w:vMerge w:val="continue"/>
            <w:vAlign w:val="center"/>
          </w:tcPr>
          <w:p w14:paraId="77C3C245">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CEBC92A">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51C8CDE4">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0FA99D54">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015D1E0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7FD2BA3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违反《慈善法》第十四条规定造成慈善财产损失，出现《慈善法》第一百一十条第三款的情形。</w:t>
            </w:r>
          </w:p>
        </w:tc>
        <w:tc>
          <w:tcPr>
            <w:tcW w:w="612" w:type="pct"/>
            <w:noWrap/>
            <w:vAlign w:val="center"/>
          </w:tcPr>
          <w:p w14:paraId="764203B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吊销登记证书；对直接负责的主管人员和其他直接责任人员处十万元以上二十万元以下罚款，禁止其一年至五年内担任慈善组织的管理人员；没收违法所得。</w:t>
            </w:r>
          </w:p>
        </w:tc>
      </w:tr>
      <w:tr w14:paraId="010C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80" w:hRule="atLeast"/>
          <w:jc w:val="center"/>
        </w:trPr>
        <w:tc>
          <w:tcPr>
            <w:tcW w:w="197" w:type="pct"/>
            <w:vMerge w:val="restart"/>
            <w:noWrap/>
            <w:vAlign w:val="center"/>
          </w:tcPr>
          <w:p w14:paraId="1BA751F4">
            <w:pPr>
              <w:adjustRightInd w:val="0"/>
              <w:snapToGrid w:val="0"/>
              <w:jc w:val="center"/>
              <w:rPr>
                <w:rFonts w:hAnsi="宋体" w:cs="宋体"/>
                <w:b/>
                <w:bCs/>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53</w:t>
            </w:r>
          </w:p>
        </w:tc>
        <w:tc>
          <w:tcPr>
            <w:tcW w:w="1054" w:type="pct"/>
            <w:gridSpan w:val="2"/>
            <w:vMerge w:val="restart"/>
            <w:noWrap/>
            <w:vAlign w:val="center"/>
          </w:tcPr>
          <w:p w14:paraId="308ED68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慈善组织指定或者变相指定捐赠人、慈善组织管理人员的利害关系人作为受益人。</w:t>
            </w:r>
          </w:p>
        </w:tc>
        <w:tc>
          <w:tcPr>
            <w:tcW w:w="940" w:type="pct"/>
            <w:vMerge w:val="restart"/>
            <w:noWrap/>
            <w:vAlign w:val="center"/>
          </w:tcPr>
          <w:p w14:paraId="10F72D8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《慈善法》第四十条：捐赠人与慈善组织约定捐赠财产的用途和受益人时，不得指定或者变相指定捐赠人的利害关系人作为受益人。</w:t>
            </w:r>
          </w:p>
          <w:p w14:paraId="5320A50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第五十九条：慈善组织确定慈善受益人，应当坚持公开、公平、公正的原则，不得指定或者变相指定慈善组织管理人员的利害关系人作为受益人。</w:t>
            </w:r>
          </w:p>
        </w:tc>
        <w:tc>
          <w:tcPr>
            <w:tcW w:w="929" w:type="pct"/>
            <w:vMerge w:val="restart"/>
            <w:noWrap/>
            <w:vAlign w:val="center"/>
          </w:tcPr>
          <w:p w14:paraId="0F90A757">
            <w:pPr>
              <w:tabs>
                <w:tab w:val="left" w:pos="662"/>
              </w:tabs>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《慈善法》第一百一十条：慈善组织有下列情形之一的，由县级以上人民政府民政部门责令限期改正，予以警告，并没收违法所得；逾期不改正的，责令限期停止活动并进行整改：</w:t>
            </w:r>
          </w:p>
          <w:p w14:paraId="0EB0FD8E">
            <w:pPr>
              <w:tabs>
                <w:tab w:val="left" w:pos="662"/>
              </w:tabs>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076582D0">
            <w:pPr>
              <w:tabs>
                <w:tab w:val="left" w:pos="662"/>
              </w:tabs>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（二）指定或者变相指定</w:t>
            </w:r>
            <w:r>
              <w:rPr>
                <w:rFonts w:hint="eastAsia" w:hAnsi="宋体" w:cs="宋体"/>
                <w:color w:val="000000" w:themeColor="text1"/>
                <w:spacing w:val="-6"/>
                <w:kern w:val="0"/>
                <w:sz w:val="21"/>
                <w:szCs w:val="21"/>
                <w14:textFill>
                  <w14:solidFill>
                    <w14:schemeClr w14:val="tx1"/>
                  </w14:solidFill>
                </w14:textFill>
              </w:rPr>
              <w:t>捐赠人、慈善组织管理人员的利害关系人作为受益人的；</w:t>
            </w:r>
          </w:p>
          <w:p w14:paraId="05AF1C6E">
            <w:pPr>
              <w:tabs>
                <w:tab w:val="left" w:pos="662"/>
              </w:tabs>
              <w:adjustRightInd w:val="0"/>
              <w:snapToGrid w:val="0"/>
              <w:spacing w:line="28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512D20BA">
            <w:pPr>
              <w:adjustRightInd w:val="0"/>
              <w:snapToGrid w:val="0"/>
              <w:spacing w:line="28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慈善组织有前两款规定的情形，经依法处理后一年内再出现前款规定的情形，或者有其他情节严重情形的，由县</w:t>
            </w:r>
            <w:r>
              <w:rPr>
                <w:rFonts w:hAnsi="宋体" w:cs="宋体"/>
                <w:color w:val="000000" w:themeColor="text1"/>
                <w:kern w:val="0"/>
                <w:sz w:val="21"/>
                <w:szCs w:val="21"/>
                <w14:textFill>
                  <w14:solidFill>
                    <w14:schemeClr w14:val="tx1"/>
                  </w14:solidFill>
                </w14:textFill>
              </w:rPr>
              <w:t>级以上人民政府</w:t>
            </w:r>
            <w:r>
              <w:rPr>
                <w:rFonts w:hint="eastAsia" w:hAnsi="宋体" w:cs="宋体"/>
                <w:color w:val="000000" w:themeColor="text1"/>
                <w:kern w:val="0"/>
                <w:sz w:val="21"/>
                <w:szCs w:val="21"/>
                <w14:textFill>
                  <w14:solidFill>
                    <w14:schemeClr w14:val="tx1"/>
                  </w14:solidFill>
                </w14:textFill>
              </w:rPr>
              <w:t>民政部门吊销登记证书并予以公告。</w:t>
            </w:r>
          </w:p>
          <w:p w14:paraId="183238B2">
            <w:pPr>
              <w:adjustRightInd w:val="0"/>
              <w:snapToGrid w:val="0"/>
              <w:spacing w:line="28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531BE4E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229566B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指定或者变相指定捐赠人、慈善组织管理人员的利害关系人作为受益人。</w:t>
            </w:r>
          </w:p>
        </w:tc>
        <w:tc>
          <w:tcPr>
            <w:tcW w:w="612" w:type="pct"/>
            <w:noWrap/>
            <w:vAlign w:val="center"/>
          </w:tcPr>
          <w:p w14:paraId="2D1CD10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15382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63" w:hRule="atLeast"/>
          <w:jc w:val="center"/>
        </w:trPr>
        <w:tc>
          <w:tcPr>
            <w:tcW w:w="197" w:type="pct"/>
            <w:vMerge w:val="continue"/>
            <w:noWrap/>
            <w:vAlign w:val="center"/>
          </w:tcPr>
          <w:p w14:paraId="268D5757">
            <w:pPr>
              <w:adjustRightInd w:val="0"/>
              <w:snapToGrid w:val="0"/>
              <w:jc w:val="center"/>
              <w:rPr>
                <w:rFonts w:hAnsi="宋体" w:cs="宋体"/>
                <w:b/>
                <w:bCs/>
                <w:color w:val="000000" w:themeColor="text1"/>
                <w:kern w:val="0"/>
                <w:sz w:val="21"/>
                <w:szCs w:val="21"/>
                <w14:textFill>
                  <w14:solidFill>
                    <w14:schemeClr w14:val="tx1"/>
                  </w14:solidFill>
                </w14:textFill>
              </w:rPr>
            </w:pPr>
          </w:p>
        </w:tc>
        <w:tc>
          <w:tcPr>
            <w:tcW w:w="1054" w:type="pct"/>
            <w:gridSpan w:val="2"/>
            <w:vMerge w:val="continue"/>
            <w:noWrap/>
            <w:vAlign w:val="center"/>
          </w:tcPr>
          <w:p w14:paraId="62A39712">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noWrap/>
            <w:vAlign w:val="center"/>
          </w:tcPr>
          <w:p w14:paraId="558A8FA8">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noWrap/>
            <w:vAlign w:val="center"/>
          </w:tcPr>
          <w:p w14:paraId="1084FD0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68EA40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728EBB4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指定或者变相指定捐赠人、慈善组织管理人员的利害关系人作为受益人，受到警告的行政处罚并被责令限期改正，逾期未改正。</w:t>
            </w:r>
          </w:p>
        </w:tc>
        <w:tc>
          <w:tcPr>
            <w:tcW w:w="612" w:type="pct"/>
            <w:noWrap/>
            <w:vAlign w:val="center"/>
          </w:tcPr>
          <w:p w14:paraId="3994658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责令限期停止活动（1-6个月）；对直接负责的主管人员和其他直接责任人员处五万元以上不超过十万元罚款；没收违法所得。</w:t>
            </w:r>
          </w:p>
        </w:tc>
      </w:tr>
      <w:tr w14:paraId="1FC4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371" w:hRule="atLeast"/>
          <w:jc w:val="center"/>
        </w:trPr>
        <w:tc>
          <w:tcPr>
            <w:tcW w:w="197" w:type="pct"/>
            <w:vMerge w:val="continue"/>
            <w:noWrap/>
            <w:vAlign w:val="center"/>
          </w:tcPr>
          <w:p w14:paraId="50557B8F">
            <w:pPr>
              <w:adjustRightInd w:val="0"/>
              <w:snapToGrid w:val="0"/>
              <w:jc w:val="center"/>
              <w:rPr>
                <w:rFonts w:hAnsi="宋体" w:cs="宋体"/>
                <w:b/>
                <w:bCs/>
                <w:color w:val="000000" w:themeColor="text1"/>
                <w:kern w:val="0"/>
                <w:sz w:val="21"/>
                <w:szCs w:val="21"/>
                <w14:textFill>
                  <w14:solidFill>
                    <w14:schemeClr w14:val="tx1"/>
                  </w14:solidFill>
                </w14:textFill>
              </w:rPr>
            </w:pPr>
          </w:p>
        </w:tc>
        <w:tc>
          <w:tcPr>
            <w:tcW w:w="1054" w:type="pct"/>
            <w:gridSpan w:val="2"/>
            <w:vMerge w:val="continue"/>
            <w:noWrap/>
            <w:vAlign w:val="center"/>
          </w:tcPr>
          <w:p w14:paraId="57AD4899">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noWrap/>
            <w:vAlign w:val="center"/>
          </w:tcPr>
          <w:p w14:paraId="659E8C87">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noWrap/>
            <w:vAlign w:val="center"/>
          </w:tcPr>
          <w:p w14:paraId="651F525E">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B69D62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4C994B6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指定或者变相指定捐赠人、慈善组织管理人员的利害关系人作为受益人，出现《慈善法》第一百一十条第三款的情形。</w:t>
            </w:r>
          </w:p>
        </w:tc>
        <w:tc>
          <w:tcPr>
            <w:tcW w:w="612" w:type="pct"/>
            <w:noWrap/>
            <w:vAlign w:val="center"/>
          </w:tcPr>
          <w:p w14:paraId="5CB3583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吊销登记证书；对直接负责的主管人员和其他直接责任人员处十万元以上二十万元以下罚款，禁止其一年至五年内担任慈善组织的管理人员；没收违法所得。</w:t>
            </w:r>
          </w:p>
        </w:tc>
      </w:tr>
      <w:tr w14:paraId="0A4C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36" w:hRule="atLeast"/>
          <w:jc w:val="center"/>
        </w:trPr>
        <w:tc>
          <w:tcPr>
            <w:tcW w:w="197" w:type="pct"/>
            <w:vMerge w:val="restart"/>
            <w:noWrap/>
            <w:vAlign w:val="center"/>
          </w:tcPr>
          <w:p w14:paraId="3EA1CFA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54</w:t>
            </w:r>
          </w:p>
        </w:tc>
        <w:tc>
          <w:tcPr>
            <w:tcW w:w="1054" w:type="pct"/>
            <w:gridSpan w:val="2"/>
            <w:vMerge w:val="restart"/>
            <w:noWrap/>
            <w:vAlign w:val="center"/>
          </w:tcPr>
          <w:p w14:paraId="2C78B25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慈善组织将不得用于投资的财产用于投资。</w:t>
            </w:r>
          </w:p>
        </w:tc>
        <w:tc>
          <w:tcPr>
            <w:tcW w:w="940" w:type="pct"/>
            <w:vMerge w:val="restart"/>
            <w:noWrap/>
            <w:vAlign w:val="center"/>
          </w:tcPr>
          <w:p w14:paraId="45133AD6">
            <w:pPr>
              <w:adjustRightInd w:val="0"/>
              <w:snapToGrid w:val="0"/>
              <w:rPr>
                <w:rFonts w:hAnsi="宋体" w:cs="宋体"/>
                <w:color w:val="000000" w:themeColor="text1"/>
                <w:kern w:val="0"/>
                <w:sz w:val="21"/>
                <w:szCs w:val="21"/>
                <w14:textFill>
                  <w14:solidFill>
                    <w14:schemeClr w14:val="tx1"/>
                  </w14:solidFill>
                </w14:textFill>
              </w:rPr>
            </w:pPr>
          </w:p>
          <w:p w14:paraId="0911545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《慈善法》第五十五条：慈善组织为实现财产保值、增值进行投资的，应当遵循合法、安全、有效的原则，投资取得的收益应当全部用于慈善目的。</w:t>
            </w:r>
          </w:p>
          <w:p w14:paraId="681549B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的重大投资方案应当经决策机构组成人员三分之二以上同意。政府资助的财产和捐赠协议约定不得投资的财产，不得用于投资。慈善组织的负责人和工作人员不得在慈善组织投资的企业兼职或者领取报酬。</w:t>
            </w:r>
          </w:p>
          <w:p w14:paraId="5EB5F78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保值增值投资活动管理暂行办法》第五条：慈善组织可以用于投资的财产限于非限定性资产和在投资期间暂不需要拨付的限定性资产。慈善组织接受的政府资助的财产和捐赠协议约定不得投资的财产，不得用于投资。</w:t>
            </w:r>
          </w:p>
        </w:tc>
        <w:tc>
          <w:tcPr>
            <w:tcW w:w="929" w:type="pct"/>
            <w:vMerge w:val="restart"/>
            <w:noWrap/>
            <w:vAlign w:val="center"/>
          </w:tcPr>
          <w:p w14:paraId="7D5B2E7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《慈善法》第一百一十条：慈善组织有下列情形之一的，由县级以上人民政府民政部门责令限期改正，予以警告，并没收违法所得；逾期不改正的，责令限期停止活动并进行整改：</w:t>
            </w:r>
          </w:p>
          <w:p w14:paraId="1CFEF64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B66C8E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（三）将不得用于投资的财产用于投资的；</w:t>
            </w:r>
          </w:p>
          <w:p w14:paraId="4E726B3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4F7A07A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慈善组织有前两款规定的情形，经依法处理后一年内再出现前款规定的情形，或者有其他情节严重情形的，由民政部门吊销登记证书并予以公告。</w:t>
            </w:r>
          </w:p>
          <w:p w14:paraId="6262E44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6E27076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207B823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将不得用于投资的财产用于投资。</w:t>
            </w:r>
          </w:p>
        </w:tc>
        <w:tc>
          <w:tcPr>
            <w:tcW w:w="612" w:type="pct"/>
            <w:noWrap/>
            <w:vAlign w:val="center"/>
          </w:tcPr>
          <w:p w14:paraId="20AE809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4BD2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30" w:hRule="exact"/>
          <w:jc w:val="center"/>
        </w:trPr>
        <w:tc>
          <w:tcPr>
            <w:tcW w:w="197" w:type="pct"/>
            <w:vMerge w:val="continue"/>
            <w:vAlign w:val="center"/>
          </w:tcPr>
          <w:p w14:paraId="669D506E">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11D8BFAC">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23082899">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04305836">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0AFCA60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4CF206E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将不得用于投资的财产用于投资，受到警告的行政处罚并被责令限期改正，逾期未改正。</w:t>
            </w:r>
          </w:p>
        </w:tc>
        <w:tc>
          <w:tcPr>
            <w:tcW w:w="612" w:type="pct"/>
            <w:noWrap/>
            <w:vAlign w:val="center"/>
          </w:tcPr>
          <w:p w14:paraId="00508CA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责令限期停止活动（1-6个月）；对直接负责的主管人员和其他直接责任人员处五万元以上不超过十万元罚款；没收违法所得。</w:t>
            </w:r>
          </w:p>
        </w:tc>
      </w:tr>
      <w:tr w14:paraId="01FC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599" w:hRule="exact"/>
          <w:jc w:val="center"/>
        </w:trPr>
        <w:tc>
          <w:tcPr>
            <w:tcW w:w="197" w:type="pct"/>
            <w:vMerge w:val="continue"/>
            <w:vAlign w:val="center"/>
          </w:tcPr>
          <w:p w14:paraId="298785E6">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2E2F548F">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1E861F0">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77A2E062">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3152AC8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772700F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将不得用于投资的财产用于投资，出现《慈善法》第一百一十条第三款的情形。</w:t>
            </w:r>
          </w:p>
        </w:tc>
        <w:tc>
          <w:tcPr>
            <w:tcW w:w="612" w:type="pct"/>
            <w:noWrap/>
            <w:vAlign w:val="center"/>
          </w:tcPr>
          <w:p w14:paraId="0190BE3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吊销登记证书；对直接负责的主管人员和其他直接责任人员处十万元以上二十万元以下罚款，禁止其一年至五年内担任慈善组织的管理人员；没收违法所得。</w:t>
            </w:r>
          </w:p>
        </w:tc>
      </w:tr>
      <w:tr w14:paraId="36C7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742" w:hRule="exact"/>
          <w:jc w:val="center"/>
        </w:trPr>
        <w:tc>
          <w:tcPr>
            <w:tcW w:w="197" w:type="pct"/>
            <w:vMerge w:val="restart"/>
            <w:noWrap/>
            <w:vAlign w:val="center"/>
          </w:tcPr>
          <w:p w14:paraId="2630D85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55</w:t>
            </w:r>
          </w:p>
        </w:tc>
        <w:tc>
          <w:tcPr>
            <w:tcW w:w="1054" w:type="pct"/>
            <w:gridSpan w:val="2"/>
            <w:vMerge w:val="restart"/>
            <w:noWrap/>
            <w:vAlign w:val="center"/>
          </w:tcPr>
          <w:p w14:paraId="053A4EB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违反《慈善法》第五十六条、第五十八条的规定（擅自改变募捐方案规定的捐赠财产用途，且未依法备案；慈善组织擅自改变捐赠协议约定的捐赠财产用途，且未征得捐赠人同意；慈善项目终止后捐赠财产有剩余，未按照募捐方案或捐赠协议处理；募捐方案未规定或者捐赠协议未约定的，未将剩余财产用于相同或相近的其他慈善项目等），擅自改变捐赠财产用途。</w:t>
            </w:r>
          </w:p>
        </w:tc>
        <w:tc>
          <w:tcPr>
            <w:tcW w:w="940" w:type="pct"/>
            <w:vMerge w:val="restart"/>
            <w:noWrap/>
            <w:vAlign w:val="center"/>
          </w:tcPr>
          <w:p w14:paraId="4AC53C9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五十六条：慈善组织开展慈善活动，应当依照法律法规和章程的规定，按照募捐方案或者捐赠协议使用捐赠财产。慈善组织确需变更募捐方案规定的捐赠财产用途的，应当报原备案的民政部门备案；确需变更捐赠协议约定的捐赠财产用途的，应当征得捐赠人同意。</w:t>
            </w:r>
          </w:p>
          <w:p w14:paraId="239124A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第五十八条：慈善项目终止后捐赠财产有剩余的，按照募捐方案或者捐赠协议处理；募捐方案未规定或者捐赠协议未约定的，慈善组织应当将剩余财产用于目的相同或者相近的其他慈善项目，并向社会公开。</w:t>
            </w:r>
          </w:p>
        </w:tc>
        <w:tc>
          <w:tcPr>
            <w:tcW w:w="929" w:type="pct"/>
            <w:vMerge w:val="restart"/>
            <w:noWrap/>
            <w:vAlign w:val="center"/>
          </w:tcPr>
          <w:p w14:paraId="335A513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《慈善法》第一百一十条：慈善组织有下列情形之一的，由县级以上人民政府民政部门责令限期改正，予以警告，并没收违法所得；逾期不改正的，责令限期停止活动并进行整改：</w:t>
            </w:r>
          </w:p>
          <w:p w14:paraId="70F4307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3EF4514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（四）擅自改变捐赠财产用途的；</w:t>
            </w:r>
          </w:p>
          <w:p w14:paraId="15C1332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C7AB3E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慈善组织有前两款规定的情形，经依法处理后一年内再出现前款规定的情形，或者有其他情节严重情形的，由民政部门吊销登记证书并予以公告。</w:t>
            </w:r>
          </w:p>
          <w:p w14:paraId="321CFBA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578E941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366B5CA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违反《慈善法》第五十六、第五十八条的规定，擅自改变捐赠财产用途。</w:t>
            </w:r>
          </w:p>
        </w:tc>
        <w:tc>
          <w:tcPr>
            <w:tcW w:w="612" w:type="pct"/>
            <w:noWrap/>
            <w:vAlign w:val="center"/>
          </w:tcPr>
          <w:p w14:paraId="7F24FC7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17A32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842" w:hRule="exact"/>
          <w:jc w:val="center"/>
        </w:trPr>
        <w:tc>
          <w:tcPr>
            <w:tcW w:w="197" w:type="pct"/>
            <w:vMerge w:val="continue"/>
            <w:vAlign w:val="center"/>
          </w:tcPr>
          <w:p w14:paraId="3384E1F6">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32E875F">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10FA6430">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EB89331">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6DB04AC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34B5255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违反《慈善法》第五十六、第五十八条的规定，擅自改变捐赠财产用途，受到警告的行政处罚并被责令限期改正，逾期未改正。</w:t>
            </w:r>
          </w:p>
        </w:tc>
        <w:tc>
          <w:tcPr>
            <w:tcW w:w="612" w:type="pct"/>
            <w:noWrap/>
            <w:vAlign w:val="center"/>
          </w:tcPr>
          <w:p w14:paraId="1E4264C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责令限期停止活动（1-6个月）；对直接负责的主管人员和其他直接责任人员处五万元以上不超过十万元罚款；没收违法所得。</w:t>
            </w:r>
          </w:p>
        </w:tc>
      </w:tr>
      <w:tr w14:paraId="45D9C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562" w:hRule="exact"/>
          <w:jc w:val="center"/>
        </w:trPr>
        <w:tc>
          <w:tcPr>
            <w:tcW w:w="197" w:type="pct"/>
            <w:vMerge w:val="continue"/>
            <w:vAlign w:val="center"/>
          </w:tcPr>
          <w:p w14:paraId="10CBB38B">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4F1F301">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86F83B4">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B35EA48">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37E1E3B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6D6EF49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违反《慈善法》第五十六、第五十八条的规定，擅自改变捐赠财产用途，出现《慈善法》第一百一十条第三款的情形。</w:t>
            </w:r>
          </w:p>
        </w:tc>
        <w:tc>
          <w:tcPr>
            <w:tcW w:w="612" w:type="pct"/>
            <w:noWrap/>
            <w:vAlign w:val="center"/>
          </w:tcPr>
          <w:p w14:paraId="7D38EF9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吊销登记证书；对直接负责的主管人员和其他直接责任人员处十万元以上二十万元以下罚款，禁止其一年至五年内担任慈善组织的管理人员；没收违法所得。</w:t>
            </w:r>
          </w:p>
        </w:tc>
      </w:tr>
      <w:tr w14:paraId="4F69E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91" w:hRule="exact"/>
          <w:jc w:val="center"/>
        </w:trPr>
        <w:tc>
          <w:tcPr>
            <w:tcW w:w="197" w:type="pct"/>
            <w:vMerge w:val="restart"/>
            <w:vAlign w:val="center"/>
          </w:tcPr>
          <w:p w14:paraId="114A94DC">
            <w:pPr>
              <w:adjustRightInd w:val="0"/>
              <w:snapToGrid w:val="0"/>
              <w:jc w:val="center"/>
              <w:rPr>
                <w:rFonts w:hAnsi="宋体" w:cs="宋体"/>
                <w:b/>
                <w:bCs/>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56</w:t>
            </w:r>
          </w:p>
        </w:tc>
        <w:tc>
          <w:tcPr>
            <w:tcW w:w="1054" w:type="pct"/>
            <w:gridSpan w:val="2"/>
            <w:vMerge w:val="restart"/>
            <w:vAlign w:val="center"/>
          </w:tcPr>
          <w:p w14:paraId="0843A15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慈善组织违反《慈善法》第五十四条的规定（对募集的财产，未登记造册、严格管理、专款专用；接受不易储存、运输或者难以直接用于慈善目的的实物，未及时处置等），因管理不善造成慈善财产重大损失。</w:t>
            </w:r>
          </w:p>
        </w:tc>
        <w:tc>
          <w:tcPr>
            <w:tcW w:w="940" w:type="pct"/>
            <w:vMerge w:val="restart"/>
            <w:vAlign w:val="center"/>
          </w:tcPr>
          <w:p w14:paraId="29AF62D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《慈善法》第五十四条：慈善组织对募集的财产，应当登记造册，严格管理，专款专用。</w:t>
            </w:r>
          </w:p>
          <w:p w14:paraId="53C6E3A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捐赠人捐赠的实物不易储存、运输或者难以直接用于慈善目的的，慈善组织可以依法拍卖或者变卖，所得收入扣除必要费用后，应当全部用于慈善目的。</w:t>
            </w:r>
          </w:p>
          <w:p w14:paraId="3F4DBF43">
            <w:pPr>
              <w:adjustRightInd w:val="0"/>
              <w:snapToGrid w:val="0"/>
              <w:ind w:firstLine="420" w:firstLineChars="200"/>
              <w:rPr>
                <w:rFonts w:hAnsi="宋体" w:cs="宋体"/>
                <w:color w:val="000000" w:themeColor="text1"/>
                <w:kern w:val="0"/>
                <w:sz w:val="21"/>
                <w:szCs w:val="21"/>
                <w14:textFill>
                  <w14:solidFill>
                    <w14:schemeClr w14:val="tx1"/>
                  </w14:solidFill>
                </w14:textFill>
              </w:rPr>
            </w:pPr>
          </w:p>
        </w:tc>
        <w:tc>
          <w:tcPr>
            <w:tcW w:w="929" w:type="pct"/>
            <w:vMerge w:val="restart"/>
            <w:vAlign w:val="center"/>
          </w:tcPr>
          <w:p w14:paraId="247BC8A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《慈善法》第一百一十条：慈善组织有下列情形之一的，由县级以上人民政府民政部门责令限期改正，予以警告，并没收违法所得；逾期不改正的，责令限期停止活动并进行整改：</w:t>
            </w:r>
          </w:p>
          <w:p w14:paraId="340BD0F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4F0DB98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（五）因管理不善造成慈善财产重大损失的；</w:t>
            </w:r>
          </w:p>
          <w:p w14:paraId="0DB75D4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F3DEAD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慈善组织有前两款规定的情形，经依法处理后一年内再出现前款规定的情形，或者有其他情节严重情形的，由民政部门吊销登记证书并予以公告。</w:t>
            </w:r>
          </w:p>
          <w:p w14:paraId="2FBC7C8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113DD9E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766A710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违反《慈善法》第五十四条的规定，造成慈善财产重大损失。</w:t>
            </w:r>
          </w:p>
        </w:tc>
        <w:tc>
          <w:tcPr>
            <w:tcW w:w="612" w:type="pct"/>
            <w:noWrap/>
            <w:vAlign w:val="center"/>
          </w:tcPr>
          <w:p w14:paraId="1110E95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25C8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51" w:hRule="exact"/>
          <w:jc w:val="center"/>
        </w:trPr>
        <w:tc>
          <w:tcPr>
            <w:tcW w:w="197" w:type="pct"/>
            <w:vMerge w:val="continue"/>
            <w:vAlign w:val="center"/>
          </w:tcPr>
          <w:p w14:paraId="1365B1AE">
            <w:pPr>
              <w:adjustRightInd w:val="0"/>
              <w:snapToGrid w:val="0"/>
              <w:jc w:val="center"/>
              <w:rPr>
                <w:rFonts w:hAnsi="宋体" w:cs="宋体"/>
                <w:b/>
                <w:bCs/>
                <w:color w:val="000000" w:themeColor="text1"/>
                <w:kern w:val="0"/>
                <w:sz w:val="21"/>
                <w:szCs w:val="21"/>
                <w14:textFill>
                  <w14:solidFill>
                    <w14:schemeClr w14:val="tx1"/>
                  </w14:solidFill>
                </w14:textFill>
              </w:rPr>
            </w:pPr>
          </w:p>
        </w:tc>
        <w:tc>
          <w:tcPr>
            <w:tcW w:w="1054" w:type="pct"/>
            <w:gridSpan w:val="2"/>
            <w:vMerge w:val="continue"/>
            <w:vAlign w:val="center"/>
          </w:tcPr>
          <w:p w14:paraId="45A7C299">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5F2F99CC">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7F974CC8">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03CA9F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60D26F5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违反《慈善法》第五十四条的规定，造成慈善财产重大损失，受到警告的行政处罚并被责令限期改正，逾期未改正。</w:t>
            </w:r>
          </w:p>
        </w:tc>
        <w:tc>
          <w:tcPr>
            <w:tcW w:w="612" w:type="pct"/>
            <w:noWrap/>
            <w:vAlign w:val="center"/>
          </w:tcPr>
          <w:p w14:paraId="01E7C53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责令限期停止活动（1-6个月）；对直接负责的主管人员和其他直接责任人员处五万元以上不超过十万元罚款；没收违法所得。</w:t>
            </w:r>
          </w:p>
        </w:tc>
      </w:tr>
      <w:tr w14:paraId="2B16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33" w:hRule="exact"/>
          <w:jc w:val="center"/>
        </w:trPr>
        <w:tc>
          <w:tcPr>
            <w:tcW w:w="197" w:type="pct"/>
            <w:vMerge w:val="continue"/>
            <w:vAlign w:val="center"/>
          </w:tcPr>
          <w:p w14:paraId="4B30BEF8">
            <w:pPr>
              <w:adjustRightInd w:val="0"/>
              <w:snapToGrid w:val="0"/>
              <w:jc w:val="center"/>
              <w:rPr>
                <w:rFonts w:hAnsi="宋体" w:cs="宋体"/>
                <w:b/>
                <w:bCs/>
                <w:color w:val="000000" w:themeColor="text1"/>
                <w:kern w:val="0"/>
                <w:sz w:val="21"/>
                <w:szCs w:val="21"/>
                <w14:textFill>
                  <w14:solidFill>
                    <w14:schemeClr w14:val="tx1"/>
                  </w14:solidFill>
                </w14:textFill>
              </w:rPr>
            </w:pPr>
          </w:p>
        </w:tc>
        <w:tc>
          <w:tcPr>
            <w:tcW w:w="1054" w:type="pct"/>
            <w:gridSpan w:val="2"/>
            <w:vMerge w:val="continue"/>
            <w:vAlign w:val="center"/>
          </w:tcPr>
          <w:p w14:paraId="7FB52888">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3AF8BB36">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0018C7A">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7A86CD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2C6BDBF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违反《慈善法》第五十四条的规定，造成慈善财产重大损失，出现《慈善法》第一百一十条第三款的情形。</w:t>
            </w:r>
          </w:p>
        </w:tc>
        <w:tc>
          <w:tcPr>
            <w:tcW w:w="612" w:type="pct"/>
            <w:noWrap/>
            <w:vAlign w:val="center"/>
          </w:tcPr>
          <w:p w14:paraId="2EC7C32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吊销登记证书；对直接负责的主管人员和其他直接责任人员处十万元以上二十万元以下罚款，禁止其一年至五年内担任慈善组织的管理人员；没收违法所得。</w:t>
            </w:r>
          </w:p>
        </w:tc>
      </w:tr>
      <w:tr w14:paraId="6645E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283" w:hRule="exact"/>
          <w:jc w:val="center"/>
        </w:trPr>
        <w:tc>
          <w:tcPr>
            <w:tcW w:w="197" w:type="pct"/>
            <w:vMerge w:val="restart"/>
            <w:noWrap/>
            <w:vAlign w:val="center"/>
          </w:tcPr>
          <w:p w14:paraId="072BEBFF">
            <w:pPr>
              <w:adjustRightInd w:val="0"/>
              <w:snapToGrid w:val="0"/>
              <w:jc w:val="center"/>
              <w:rPr>
                <w:rFonts w:hAnsi="宋体" w:cs="宋体"/>
                <w:b/>
                <w:bCs/>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57</w:t>
            </w:r>
          </w:p>
        </w:tc>
        <w:tc>
          <w:tcPr>
            <w:tcW w:w="1054" w:type="pct"/>
            <w:gridSpan w:val="2"/>
            <w:vMerge w:val="restart"/>
            <w:noWrap/>
            <w:vAlign w:val="center"/>
          </w:tcPr>
          <w:p w14:paraId="676DD20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慈善组织开展慈善活动的年度支出、管理费用或者募捐成本违反规定。</w:t>
            </w:r>
          </w:p>
        </w:tc>
        <w:tc>
          <w:tcPr>
            <w:tcW w:w="940" w:type="pct"/>
            <w:vMerge w:val="restart"/>
            <w:noWrap/>
            <w:vAlign w:val="center"/>
          </w:tcPr>
          <w:p w14:paraId="3BB5970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六十一条：慈善组织应当积极开展慈善活动，遵循管理费用、募捐成本等最必要原则，厉行节约，减少不必要的开支，充分、高效运用慈善财产。具有公开募捐资格的基金会开展慈善活动的年度支出，不得低于上一年总收入的百分之七十或者前三年收入平均数额的百分之七十；年度管理费用不得超过当年总支出的百分之十；特殊情况下，年度支出和管理费用难以符合前述规定的，应当报告办理其登记的民政部门并向社会公开说明情况。</w:t>
            </w:r>
          </w:p>
          <w:p w14:paraId="605B37C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慈善组织开展慈善活动的年度支出、管理费用和募捐成本的标准由国务院民政部门会同财政、税务等部门制定。</w:t>
            </w:r>
          </w:p>
        </w:tc>
        <w:tc>
          <w:tcPr>
            <w:tcW w:w="929" w:type="pct"/>
            <w:vMerge w:val="restart"/>
            <w:noWrap/>
            <w:vAlign w:val="center"/>
          </w:tcPr>
          <w:p w14:paraId="0100292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《慈善法》第一百一十条：慈善组织有下列情形之一的，由县级以上人民政府民政部门责令限期改正，予以警告，并没收违法所得；逾期不改正的，责令限期停止活动并进行整改：</w:t>
            </w:r>
          </w:p>
          <w:p w14:paraId="460F410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029B4B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（六）开展慈善活动的年度支出、管理费用或者募捐成本违反规定的；</w:t>
            </w:r>
          </w:p>
          <w:p w14:paraId="78A159C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42ED360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慈善组织有前两款规定的情形，经依法处理后一年内再出现前款规定的情形，或者有其他情节严重情形的，由民政部门吊销登记证书并予以公告。</w:t>
            </w:r>
          </w:p>
          <w:p w14:paraId="22E6D12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23A31F3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172AD76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开展慈善活动的年度支出、管理费用或者募捐成本违反规定。</w:t>
            </w:r>
          </w:p>
        </w:tc>
        <w:tc>
          <w:tcPr>
            <w:tcW w:w="612" w:type="pct"/>
            <w:noWrap/>
            <w:vAlign w:val="center"/>
          </w:tcPr>
          <w:p w14:paraId="28CF381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6BA1D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87" w:hRule="exact"/>
          <w:jc w:val="center"/>
        </w:trPr>
        <w:tc>
          <w:tcPr>
            <w:tcW w:w="197" w:type="pct"/>
            <w:vMerge w:val="continue"/>
            <w:vAlign w:val="center"/>
          </w:tcPr>
          <w:p w14:paraId="6570552B">
            <w:pPr>
              <w:adjustRightInd w:val="0"/>
              <w:snapToGrid w:val="0"/>
              <w:jc w:val="center"/>
              <w:rPr>
                <w:rFonts w:hAnsi="宋体" w:cs="宋体"/>
                <w:b/>
                <w:bCs/>
                <w:color w:val="000000" w:themeColor="text1"/>
                <w:kern w:val="0"/>
                <w:sz w:val="21"/>
                <w:szCs w:val="21"/>
                <w14:textFill>
                  <w14:solidFill>
                    <w14:schemeClr w14:val="tx1"/>
                  </w14:solidFill>
                </w14:textFill>
              </w:rPr>
            </w:pPr>
          </w:p>
        </w:tc>
        <w:tc>
          <w:tcPr>
            <w:tcW w:w="1054" w:type="pct"/>
            <w:gridSpan w:val="2"/>
            <w:vMerge w:val="continue"/>
            <w:vAlign w:val="center"/>
          </w:tcPr>
          <w:p w14:paraId="0C172964">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3FC1001B">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56070D3">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025E5C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1AFC12D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开展慈善活动的年度支出、管理费用或者募捐成本违反规定，受到警告的行政处罚并被责令限期改正，逾期未改正。</w:t>
            </w:r>
          </w:p>
        </w:tc>
        <w:tc>
          <w:tcPr>
            <w:tcW w:w="612" w:type="pct"/>
            <w:noWrap/>
            <w:vAlign w:val="center"/>
          </w:tcPr>
          <w:p w14:paraId="5146666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责令限期停止活动（1-6个月）；对直接负责的主管人员和其他直接责任人员处五万元以上不超过十万元罚款；没收违法所得。</w:t>
            </w:r>
          </w:p>
        </w:tc>
      </w:tr>
      <w:tr w14:paraId="60A1B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117" w:hRule="exact"/>
          <w:jc w:val="center"/>
        </w:trPr>
        <w:tc>
          <w:tcPr>
            <w:tcW w:w="197" w:type="pct"/>
            <w:vMerge w:val="continue"/>
            <w:vAlign w:val="center"/>
          </w:tcPr>
          <w:p w14:paraId="30E045C2">
            <w:pPr>
              <w:adjustRightInd w:val="0"/>
              <w:snapToGrid w:val="0"/>
              <w:jc w:val="center"/>
              <w:rPr>
                <w:rFonts w:hAnsi="宋体" w:cs="宋体"/>
                <w:b/>
                <w:bCs/>
                <w:color w:val="000000" w:themeColor="text1"/>
                <w:kern w:val="0"/>
                <w:sz w:val="21"/>
                <w:szCs w:val="21"/>
                <w14:textFill>
                  <w14:solidFill>
                    <w14:schemeClr w14:val="tx1"/>
                  </w14:solidFill>
                </w14:textFill>
              </w:rPr>
            </w:pPr>
          </w:p>
        </w:tc>
        <w:tc>
          <w:tcPr>
            <w:tcW w:w="1054" w:type="pct"/>
            <w:gridSpan w:val="2"/>
            <w:vMerge w:val="continue"/>
            <w:vAlign w:val="center"/>
          </w:tcPr>
          <w:p w14:paraId="5B68870B">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2542F57F">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33D1FF17">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AA5595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1C803F1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开展慈善活动的年度支出、管理费用或者募捐成本违反规定，出现《慈善法》第一百一十条第三款的情形。</w:t>
            </w:r>
          </w:p>
        </w:tc>
        <w:tc>
          <w:tcPr>
            <w:tcW w:w="612" w:type="pct"/>
            <w:noWrap/>
            <w:vAlign w:val="center"/>
          </w:tcPr>
          <w:p w14:paraId="61CF100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吊销登记证书；对直接负责的主管人员和其他直接责任人员处十万元以上二十万元以下罚款，禁止其一年至五年内担任慈善组织的管理人员；没收违法所得。</w:t>
            </w:r>
          </w:p>
        </w:tc>
      </w:tr>
      <w:tr w14:paraId="2F608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35" w:hRule="exact"/>
          <w:jc w:val="center"/>
        </w:trPr>
        <w:tc>
          <w:tcPr>
            <w:tcW w:w="197" w:type="pct"/>
            <w:vMerge w:val="restart"/>
            <w:noWrap/>
            <w:vAlign w:val="center"/>
          </w:tcPr>
          <w:p w14:paraId="56AAF2D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58</w:t>
            </w:r>
          </w:p>
        </w:tc>
        <w:tc>
          <w:tcPr>
            <w:tcW w:w="1054" w:type="pct"/>
            <w:gridSpan w:val="2"/>
            <w:vMerge w:val="restart"/>
            <w:noWrap/>
            <w:vAlign w:val="center"/>
          </w:tcPr>
          <w:p w14:paraId="3DA4272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慈善组织未依法履行信息公开义务。</w:t>
            </w:r>
          </w:p>
        </w:tc>
        <w:tc>
          <w:tcPr>
            <w:tcW w:w="940" w:type="pct"/>
            <w:vMerge w:val="restart"/>
            <w:shd w:val="clear" w:color="auto" w:fill="auto"/>
            <w:noWrap/>
            <w:vAlign w:val="center"/>
          </w:tcPr>
          <w:p w14:paraId="37DEDC6D">
            <w:pPr>
              <w:adjustRightInd w:val="0"/>
              <w:snapToGrid w:val="0"/>
              <w:spacing w:line="26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五十八条：慈善项目终止后捐赠财产有剩余的，按照募捐方案或者捐赠协议处理；募捐方案未规定或者捐赠协议未约定的，慈善组织应当将剩余财产用于目的相同或者相近的其他慈善项目，并向社会公开。</w:t>
            </w:r>
          </w:p>
          <w:p w14:paraId="59F924B8">
            <w:pPr>
              <w:adjustRightInd w:val="0"/>
              <w:snapToGrid w:val="0"/>
              <w:spacing w:line="26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第七十二条：为应对重大突发事件开展公开募捐的，应当及时分配或者使用募得款物，在应急处置与救援阶段至少每五日公开一次募得款物的接收情况，及时公开分配、使用情况。</w:t>
            </w:r>
          </w:p>
          <w:p w14:paraId="68D9E4C0">
            <w:pPr>
              <w:adjustRightInd w:val="0"/>
              <w:snapToGrid w:val="0"/>
              <w:spacing w:line="26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第七十五条：第四款慈善组织和慈善信托的受托人应当在本条第二款规定的平台发布慈善信息，并对信息的真实性负责。</w:t>
            </w:r>
          </w:p>
          <w:p w14:paraId="52051FD7">
            <w:pPr>
              <w:adjustRightInd w:val="0"/>
              <w:snapToGrid w:val="0"/>
              <w:spacing w:line="26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第七十七条：慈善组织、慈善信托的受托人应当依法履行信息公开义务。信息公开应当真实、完整、及时。</w:t>
            </w:r>
          </w:p>
          <w:p w14:paraId="1034B1AC">
            <w:pPr>
              <w:adjustRightInd w:val="0"/>
              <w:snapToGrid w:val="0"/>
              <w:spacing w:line="26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第七十八条：慈善组织应当向社会公开组织章程和决策、执行、监督机构成员信息以及国务院民政部门要求公开的其他信息。上述信息有重大变更的，慈善组织应当及时向社会公开。</w:t>
            </w:r>
          </w:p>
        </w:tc>
        <w:tc>
          <w:tcPr>
            <w:tcW w:w="929" w:type="pct"/>
            <w:vMerge w:val="restart"/>
            <w:noWrap/>
            <w:vAlign w:val="center"/>
          </w:tcPr>
          <w:p w14:paraId="747A8CE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《慈善法》第一百一十条：慈善组织有下列情形之一的，由县级以上人民政府民政部门责令限期改正，予以警告，并没收违法所得；逾期不改正的，责令限期停止活动并进行整改：</w:t>
            </w:r>
          </w:p>
          <w:p w14:paraId="56F0CF0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w:t>
            </w:r>
            <w:r>
              <w:rPr>
                <w:rFonts w:hint="eastAsia" w:hAnsi="宋体" w:cs="宋体"/>
                <w:color w:val="000000" w:themeColor="text1"/>
                <w:kern w:val="0"/>
                <w:sz w:val="21"/>
                <w:szCs w:val="21"/>
                <w14:textFill>
                  <w14:solidFill>
                    <w14:schemeClr w14:val="tx1"/>
                  </w14:solidFill>
                </w14:textFill>
              </w:rPr>
              <w:br w:type="page"/>
            </w:r>
          </w:p>
          <w:p w14:paraId="5621683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（七）未依法履行信息公开义务的；</w:t>
            </w:r>
            <w:r>
              <w:rPr>
                <w:rFonts w:hint="eastAsia" w:hAnsi="宋体" w:cs="宋体"/>
                <w:color w:val="000000" w:themeColor="text1"/>
                <w:kern w:val="0"/>
                <w:sz w:val="21"/>
                <w:szCs w:val="21"/>
                <w14:textFill>
                  <w14:solidFill>
                    <w14:schemeClr w14:val="tx1"/>
                  </w14:solidFill>
                </w14:textFill>
              </w:rPr>
              <w:br w:type="page"/>
            </w:r>
          </w:p>
          <w:p w14:paraId="3D8A636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BE4131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慈善组织有前两款规定的情形，经依法处理后一年内再出现前款规定的情形，或者有其他情节严重情形的，由民政部门吊销登记证书并予以公告。</w:t>
            </w:r>
            <w:r>
              <w:rPr>
                <w:rFonts w:hint="eastAsia" w:hAnsi="宋体" w:cs="宋体"/>
                <w:color w:val="000000" w:themeColor="text1"/>
                <w:kern w:val="0"/>
                <w:sz w:val="21"/>
                <w:szCs w:val="21"/>
                <w14:textFill>
                  <w14:solidFill>
                    <w14:schemeClr w14:val="tx1"/>
                  </w14:solidFill>
                </w14:textFill>
              </w:rPr>
              <w:br w:type="page"/>
            </w:r>
          </w:p>
          <w:p w14:paraId="4908887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2DC4093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348394F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未依法履行信息公开义务。</w:t>
            </w:r>
          </w:p>
        </w:tc>
        <w:tc>
          <w:tcPr>
            <w:tcW w:w="612" w:type="pct"/>
            <w:noWrap/>
            <w:vAlign w:val="center"/>
          </w:tcPr>
          <w:p w14:paraId="33AEB6C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1F70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905" w:hRule="exact"/>
          <w:jc w:val="center"/>
        </w:trPr>
        <w:tc>
          <w:tcPr>
            <w:tcW w:w="197" w:type="pct"/>
            <w:vMerge w:val="continue"/>
            <w:vAlign w:val="center"/>
          </w:tcPr>
          <w:p w14:paraId="06243A67">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5DDA2E7">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39DA2D3A">
            <w:pPr>
              <w:adjustRightInd w:val="0"/>
              <w:snapToGrid w:val="0"/>
              <w:spacing w:line="260" w:lineRule="exact"/>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557CA3B">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E2733E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2CF1AB2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未依法履行信息公开义务，受到警告的行政处罚并被责令限期改正，逾期未改正。</w:t>
            </w:r>
          </w:p>
        </w:tc>
        <w:tc>
          <w:tcPr>
            <w:tcW w:w="612" w:type="pct"/>
            <w:noWrap/>
            <w:vAlign w:val="center"/>
          </w:tcPr>
          <w:p w14:paraId="00136AD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责令限期停止活动（1-6个月）；对直接负责的主管人员和其他直接责任人员处五万元以上不超过十万元罚款；没收违法所得。</w:t>
            </w:r>
          </w:p>
        </w:tc>
      </w:tr>
      <w:tr w14:paraId="48AB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278" w:hRule="exact"/>
          <w:jc w:val="center"/>
        </w:trPr>
        <w:tc>
          <w:tcPr>
            <w:tcW w:w="197" w:type="pct"/>
            <w:shd w:val="clear" w:color="auto" w:fill="auto"/>
            <w:noWrap/>
            <w:vAlign w:val="center"/>
          </w:tcPr>
          <w:p w14:paraId="4B11541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58</w:t>
            </w:r>
          </w:p>
        </w:tc>
        <w:tc>
          <w:tcPr>
            <w:tcW w:w="1054" w:type="pct"/>
            <w:gridSpan w:val="2"/>
            <w:shd w:val="clear" w:color="auto" w:fill="auto"/>
            <w:noWrap/>
            <w:vAlign w:val="center"/>
          </w:tcPr>
          <w:p w14:paraId="7E48558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慈善组织未依法履行信息公开义务。</w:t>
            </w:r>
          </w:p>
        </w:tc>
        <w:tc>
          <w:tcPr>
            <w:tcW w:w="940" w:type="pct"/>
            <w:noWrap/>
            <w:vAlign w:val="center"/>
          </w:tcPr>
          <w:p w14:paraId="5780EE0C">
            <w:pPr>
              <w:keepNext w:val="0"/>
              <w:keepLines w:val="0"/>
              <w:pageBreakBefore w:val="0"/>
              <w:widowControl w:val="0"/>
              <w:kinsoku/>
              <w:wordWrap/>
              <w:overflowPunct/>
              <w:topLinePunct w:val="0"/>
              <w:autoSpaceDE/>
              <w:autoSpaceDN/>
              <w:bidi w:val="0"/>
              <w:adjustRightInd w:val="0"/>
              <w:snapToGrid w:val="0"/>
              <w:spacing w:line="250" w:lineRule="exact"/>
              <w:textAlignment w:val="auto"/>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慈善组织应当每年向社会公开其年度工作报告和财务会计报告。具有公开募捐资格的慈善组织的财务会计报告须经审计。</w:t>
            </w:r>
          </w:p>
          <w:p w14:paraId="4B3F2DB2">
            <w:pPr>
              <w:keepNext w:val="0"/>
              <w:keepLines w:val="0"/>
              <w:pageBreakBefore w:val="0"/>
              <w:widowControl w:val="0"/>
              <w:kinsoku/>
              <w:wordWrap/>
              <w:overflowPunct/>
              <w:topLinePunct w:val="0"/>
              <w:autoSpaceDE/>
              <w:autoSpaceDN/>
              <w:bidi w:val="0"/>
              <w:adjustRightInd w:val="0"/>
              <w:snapToGrid w:val="0"/>
              <w:spacing w:line="250" w:lineRule="exact"/>
              <w:textAlignment w:val="auto"/>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第七十九条：具有公开募捐资格的慈善组织应当定期向社会公开其募捐情况和慈善项目实施情况。</w:t>
            </w:r>
          </w:p>
          <w:p w14:paraId="7BDB5F63">
            <w:pPr>
              <w:keepNext w:val="0"/>
              <w:keepLines w:val="0"/>
              <w:pageBreakBefore w:val="0"/>
              <w:widowControl w:val="0"/>
              <w:kinsoku/>
              <w:wordWrap/>
              <w:overflowPunct/>
              <w:topLinePunct w:val="0"/>
              <w:autoSpaceDE/>
              <w:autoSpaceDN/>
              <w:bidi w:val="0"/>
              <w:adjustRightInd w:val="0"/>
              <w:snapToGrid w:val="0"/>
              <w:spacing w:line="250" w:lineRule="exact"/>
              <w:textAlignment w:val="auto"/>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公开募捐周期超过六个月的，至少每三个月公开一次募捐情况，公开募捐活动结束后三个月内应当全面、详细公开募捐情况。</w:t>
            </w:r>
          </w:p>
          <w:p w14:paraId="174A03E8">
            <w:pPr>
              <w:keepNext w:val="0"/>
              <w:keepLines w:val="0"/>
              <w:pageBreakBefore w:val="0"/>
              <w:widowControl w:val="0"/>
              <w:kinsoku/>
              <w:wordWrap/>
              <w:overflowPunct/>
              <w:topLinePunct w:val="0"/>
              <w:autoSpaceDE/>
              <w:autoSpaceDN/>
              <w:bidi w:val="0"/>
              <w:adjustRightInd w:val="0"/>
              <w:snapToGrid w:val="0"/>
              <w:spacing w:line="250" w:lineRule="exact"/>
              <w:textAlignment w:val="auto"/>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慈善项目实施周期超过六个月的，至少每三个月公开一次项目实施情况，项目结束后三个月内应当全面、详细公开项目实施情况和募得款物使用情况。</w:t>
            </w:r>
          </w:p>
          <w:p w14:paraId="2D8964E0">
            <w:pPr>
              <w:keepNext w:val="0"/>
              <w:keepLines w:val="0"/>
              <w:pageBreakBefore w:val="0"/>
              <w:widowControl w:val="0"/>
              <w:kinsoku/>
              <w:wordWrap/>
              <w:overflowPunct/>
              <w:topLinePunct w:val="0"/>
              <w:autoSpaceDE/>
              <w:autoSpaceDN/>
              <w:bidi w:val="0"/>
              <w:adjustRightInd w:val="0"/>
              <w:snapToGrid w:val="0"/>
              <w:spacing w:line="250" w:lineRule="exact"/>
              <w:textAlignment w:val="auto"/>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第八十条：慈善组织开展定向募捐的，应当及时向捐赠人告知募捐情况、募得款物的管理使用情况。</w:t>
            </w:r>
          </w:p>
          <w:p w14:paraId="79513353">
            <w:pPr>
              <w:keepNext w:val="0"/>
              <w:keepLines w:val="0"/>
              <w:pageBreakBefore w:val="0"/>
              <w:widowControl w:val="0"/>
              <w:kinsoku/>
              <w:wordWrap/>
              <w:overflowPunct/>
              <w:topLinePunct w:val="0"/>
              <w:autoSpaceDE/>
              <w:autoSpaceDN/>
              <w:bidi w:val="0"/>
              <w:adjustRightInd w:val="0"/>
              <w:snapToGrid w:val="0"/>
              <w:spacing w:line="250" w:lineRule="exact"/>
              <w:textAlignment w:val="auto"/>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第八十一条：慈善组织、慈善信托的受托人应当向受益人告知其资助标准、工作流程和工作规范等信息。</w:t>
            </w:r>
          </w:p>
          <w:p w14:paraId="4468315C">
            <w:pPr>
              <w:keepNext w:val="0"/>
              <w:keepLines w:val="0"/>
              <w:pageBreakBefore w:val="0"/>
              <w:widowControl w:val="0"/>
              <w:kinsoku/>
              <w:wordWrap/>
              <w:overflowPunct/>
              <w:topLinePunct w:val="0"/>
              <w:autoSpaceDE/>
              <w:autoSpaceDN/>
              <w:bidi w:val="0"/>
              <w:adjustRightInd w:val="0"/>
              <w:snapToGrid w:val="0"/>
              <w:spacing w:line="250" w:lineRule="exact"/>
              <w:textAlignment w:val="auto"/>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《慈善组织信息公开办法》第二条、第三条、第四条、第五条、第六条、第七条、第八条、第九条、第十条</w:t>
            </w:r>
          </w:p>
        </w:tc>
        <w:tc>
          <w:tcPr>
            <w:tcW w:w="929" w:type="pct"/>
            <w:noWrap/>
            <w:vAlign w:val="center"/>
          </w:tcPr>
          <w:p w14:paraId="26E994F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《慈善法》第一百一十条：慈善组织有下列情形之一的，由县级以上人民政府民政部门责令限期改正，予以警告，并没收违法所得；逾期不改正的，责令限期停止活动并进行整改：</w:t>
            </w:r>
          </w:p>
          <w:p w14:paraId="15F63CF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w:t>
            </w:r>
            <w:r>
              <w:rPr>
                <w:rFonts w:hint="eastAsia" w:hAnsi="宋体" w:cs="宋体"/>
                <w:color w:val="000000" w:themeColor="text1"/>
                <w:kern w:val="0"/>
                <w:sz w:val="21"/>
                <w:szCs w:val="21"/>
                <w14:textFill>
                  <w14:solidFill>
                    <w14:schemeClr w14:val="tx1"/>
                  </w14:solidFill>
                </w14:textFill>
              </w:rPr>
              <w:br w:type="page"/>
            </w:r>
          </w:p>
          <w:p w14:paraId="7FE5423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（七）未依法履行信息公开义务的；</w:t>
            </w:r>
            <w:r>
              <w:rPr>
                <w:rFonts w:hint="eastAsia" w:hAnsi="宋体" w:cs="宋体"/>
                <w:color w:val="000000" w:themeColor="text1"/>
                <w:kern w:val="0"/>
                <w:sz w:val="21"/>
                <w:szCs w:val="21"/>
                <w14:textFill>
                  <w14:solidFill>
                    <w14:schemeClr w14:val="tx1"/>
                  </w14:solidFill>
                </w14:textFill>
              </w:rPr>
              <w:br w:type="page"/>
            </w:r>
          </w:p>
          <w:p w14:paraId="1082949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3BE871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慈善组织有前两款规定的情形，经依法处理后一年内再出现前款规定的情形，或者有其他情节严重情形的，由民政部门吊销登记证书并予以公告。</w:t>
            </w:r>
            <w:r>
              <w:rPr>
                <w:rFonts w:hint="eastAsia" w:hAnsi="宋体" w:cs="宋体"/>
                <w:color w:val="000000" w:themeColor="text1"/>
                <w:kern w:val="0"/>
                <w:sz w:val="21"/>
                <w:szCs w:val="21"/>
                <w14:textFill>
                  <w14:solidFill>
                    <w14:schemeClr w14:val="tx1"/>
                  </w14:solidFill>
                </w14:textFill>
              </w:rPr>
              <w:br w:type="page"/>
            </w:r>
          </w:p>
          <w:p w14:paraId="170710D2">
            <w:pPr>
              <w:adjustRightInd w:val="0"/>
              <w:snapToGrid w:val="0"/>
              <w:spacing w:line="28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shd w:val="clear" w:color="auto" w:fill="auto"/>
            <w:noWrap/>
            <w:vAlign w:val="center"/>
          </w:tcPr>
          <w:p w14:paraId="2944B76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shd w:val="clear" w:color="auto" w:fill="auto"/>
            <w:noWrap/>
            <w:vAlign w:val="center"/>
          </w:tcPr>
          <w:p w14:paraId="4AEF7A2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未依法履行信息公开义务，出现《慈善法》第一百一十条第三款的情形。</w:t>
            </w:r>
          </w:p>
        </w:tc>
        <w:tc>
          <w:tcPr>
            <w:tcW w:w="612" w:type="pct"/>
            <w:shd w:val="clear" w:color="auto" w:fill="auto"/>
            <w:noWrap/>
            <w:vAlign w:val="center"/>
          </w:tcPr>
          <w:p w14:paraId="030A9BC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吊销登记证书；对直接负责的主管人员和其他直接责任人员处十万元以上二十万元以下罚款，禁止其一年至五年内担任慈善组织的管理人员；没收违法所得。</w:t>
            </w:r>
          </w:p>
        </w:tc>
      </w:tr>
      <w:tr w14:paraId="29B3D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41" w:hRule="exact"/>
          <w:jc w:val="center"/>
        </w:trPr>
        <w:tc>
          <w:tcPr>
            <w:tcW w:w="197" w:type="pct"/>
            <w:vMerge w:val="restart"/>
            <w:noWrap/>
            <w:vAlign w:val="center"/>
          </w:tcPr>
          <w:p w14:paraId="53B4DCC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59</w:t>
            </w:r>
          </w:p>
        </w:tc>
        <w:tc>
          <w:tcPr>
            <w:tcW w:w="1054" w:type="pct"/>
            <w:gridSpan w:val="2"/>
            <w:vMerge w:val="restart"/>
            <w:noWrap/>
            <w:vAlign w:val="center"/>
          </w:tcPr>
          <w:p w14:paraId="0783E10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未依法报送年度工作报告、财务会计报告或者报备募捐方案（包括在开展募捐活动前未将募捐方案报慈善组织登记的民政部门备案；为应对重大突发事件开展公开募捐，无法在募捐活动前办理募捐方案备案的，未在活动开始后十日内补办备案手续等）。</w:t>
            </w:r>
          </w:p>
        </w:tc>
        <w:tc>
          <w:tcPr>
            <w:tcW w:w="940" w:type="pct"/>
            <w:vMerge w:val="restart"/>
            <w:noWrap/>
            <w:vAlign w:val="center"/>
          </w:tcPr>
          <w:p w14:paraId="513A54C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十三条：慈善组织应当每年向办理其登记的民政部门报送年度工作报告和财务会计报告。报告应当包括年度开展募捐和接受捐赠、慈善财产的管理使用、慈善项目实施、募捐成本、慈善组织工作人员工资福利以及与境外组织或者个人开展合作等情况。</w:t>
            </w:r>
          </w:p>
          <w:p w14:paraId="18B4C9C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第二十四条第二款：募捐方案应当在开展募捐活动前报慈善组织登记的民政部门备案。</w:t>
            </w:r>
          </w:p>
          <w:p w14:paraId="154660C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第七十三条：为应对重大突发事件开展公开募捐，无法在募捐活动前办理募捐方案备案的，应当在活动开始后十日内补办备案手续。</w:t>
            </w:r>
          </w:p>
        </w:tc>
        <w:tc>
          <w:tcPr>
            <w:tcW w:w="929" w:type="pct"/>
            <w:vMerge w:val="restart"/>
            <w:noWrap/>
            <w:vAlign w:val="center"/>
          </w:tcPr>
          <w:p w14:paraId="6B5EE3C5">
            <w:pPr>
              <w:adjustRightInd w:val="0"/>
              <w:snapToGrid w:val="0"/>
              <w:spacing w:line="300" w:lineRule="exact"/>
              <w:rPr>
                <w:rFonts w:hAnsi="宋体" w:cs="宋体"/>
                <w:color w:val="000000" w:themeColor="text1"/>
                <w:kern w:val="0"/>
                <w:sz w:val="20"/>
                <w:szCs w:val="20"/>
                <w14:textFill>
                  <w14:solidFill>
                    <w14:schemeClr w14:val="tx1"/>
                  </w14:solidFill>
                </w14:textFill>
              </w:rPr>
            </w:pPr>
            <w:r>
              <w:rPr>
                <w:rFonts w:hint="eastAsia" w:hAnsi="宋体" w:cs="宋体"/>
                <w:color w:val="000000" w:themeColor="text1"/>
                <w:kern w:val="0"/>
                <w:sz w:val="20"/>
                <w:szCs w:val="20"/>
                <w14:textFill>
                  <w14:solidFill>
                    <w14:schemeClr w14:val="tx1"/>
                  </w14:solidFill>
                </w14:textFill>
              </w:rPr>
              <w:t>《慈善法》第一百一十条：慈善组织有下列情形之一的，由县级以上人民政府民政部门责令限期改正，予以警告，并没收违法所得；逾期不改正的，责令限期停止活动并进行整改：</w:t>
            </w:r>
          </w:p>
          <w:p w14:paraId="76003148">
            <w:pPr>
              <w:adjustRightInd w:val="0"/>
              <w:snapToGrid w:val="0"/>
              <w:spacing w:line="300" w:lineRule="exact"/>
              <w:rPr>
                <w:rFonts w:hAnsi="宋体" w:cs="宋体"/>
                <w:color w:val="000000" w:themeColor="text1"/>
                <w:kern w:val="0"/>
                <w:sz w:val="20"/>
                <w:szCs w:val="20"/>
                <w14:textFill>
                  <w14:solidFill>
                    <w14:schemeClr w14:val="tx1"/>
                  </w14:solidFill>
                </w14:textFill>
              </w:rPr>
            </w:pPr>
            <w:r>
              <w:rPr>
                <w:rFonts w:hint="eastAsia" w:hAnsi="宋体" w:cs="宋体"/>
                <w:color w:val="000000" w:themeColor="text1"/>
                <w:kern w:val="0"/>
                <w:sz w:val="20"/>
                <w:szCs w:val="20"/>
                <w14:textFill>
                  <w14:solidFill>
                    <w14:schemeClr w14:val="tx1"/>
                  </w14:solidFill>
                </w14:textFill>
              </w:rPr>
              <w:t>……</w:t>
            </w:r>
          </w:p>
          <w:p w14:paraId="31160AF9">
            <w:pPr>
              <w:adjustRightInd w:val="0"/>
              <w:snapToGrid w:val="0"/>
              <w:spacing w:line="300" w:lineRule="exact"/>
              <w:rPr>
                <w:rFonts w:hAnsi="宋体" w:cs="宋体"/>
                <w:color w:val="000000" w:themeColor="text1"/>
                <w:kern w:val="0"/>
                <w:sz w:val="20"/>
                <w:szCs w:val="20"/>
                <w14:textFill>
                  <w14:solidFill>
                    <w14:schemeClr w14:val="tx1"/>
                  </w14:solidFill>
                </w14:textFill>
              </w:rPr>
            </w:pPr>
            <w:r>
              <w:rPr>
                <w:rFonts w:hint="eastAsia" w:hAnsi="宋体" w:cs="宋体"/>
                <w:color w:val="000000" w:themeColor="text1"/>
                <w:kern w:val="0"/>
                <w:sz w:val="20"/>
                <w:szCs w:val="20"/>
                <w14:textFill>
                  <w14:solidFill>
                    <w14:schemeClr w14:val="tx1"/>
                  </w14:solidFill>
                </w14:textFill>
              </w:rPr>
              <w:t>（八）未依法报送年度工作报告、财务会计报告或者报备募捐方案的；</w:t>
            </w:r>
          </w:p>
          <w:p w14:paraId="5D7BA7E4">
            <w:pPr>
              <w:adjustRightInd w:val="0"/>
              <w:snapToGrid w:val="0"/>
              <w:spacing w:line="300" w:lineRule="exact"/>
              <w:rPr>
                <w:rFonts w:hAnsi="宋体" w:cs="宋体"/>
                <w:color w:val="000000" w:themeColor="text1"/>
                <w:kern w:val="0"/>
                <w:sz w:val="20"/>
                <w:szCs w:val="20"/>
                <w14:textFill>
                  <w14:solidFill>
                    <w14:schemeClr w14:val="tx1"/>
                  </w14:solidFill>
                </w14:textFill>
              </w:rPr>
            </w:pPr>
            <w:r>
              <w:rPr>
                <w:rFonts w:hint="eastAsia" w:hAnsi="宋体" w:cs="宋体"/>
                <w:color w:val="000000" w:themeColor="text1"/>
                <w:kern w:val="0"/>
                <w:sz w:val="20"/>
                <w:szCs w:val="20"/>
                <w14:textFill>
                  <w14:solidFill>
                    <w14:schemeClr w14:val="tx1"/>
                  </w14:solidFill>
                </w14:textFill>
              </w:rPr>
              <w:t>……</w:t>
            </w:r>
          </w:p>
          <w:p w14:paraId="1BD135AF">
            <w:pPr>
              <w:adjustRightInd w:val="0"/>
              <w:snapToGrid w:val="0"/>
              <w:spacing w:line="300" w:lineRule="exact"/>
              <w:rPr>
                <w:rFonts w:hAnsi="宋体" w:cs="宋体"/>
                <w:color w:val="000000" w:themeColor="text1"/>
                <w:kern w:val="0"/>
                <w:sz w:val="20"/>
                <w:szCs w:val="20"/>
                <w14:textFill>
                  <w14:solidFill>
                    <w14:schemeClr w14:val="tx1"/>
                  </w14:solidFill>
                </w14:textFill>
              </w:rPr>
            </w:pPr>
            <w:r>
              <w:rPr>
                <w:rFonts w:hint="eastAsia" w:hAnsi="宋体" w:cs="宋体"/>
                <w:color w:val="000000" w:themeColor="text1"/>
                <w:kern w:val="0"/>
                <w:sz w:val="20"/>
                <w:szCs w:val="20"/>
                <w14:textFill>
                  <w14:solidFill>
                    <w14:schemeClr w14:val="tx1"/>
                  </w14:solidFill>
                </w14:textFill>
              </w:rPr>
              <w:t>慈善组织有前两款规定的情形，经依法处理后一年内再出现前款规定的情形，或者有其他情节严重情形的，由民政部门吊销登记证书并予以公告。</w:t>
            </w:r>
          </w:p>
          <w:p w14:paraId="3F9B56E0">
            <w:pPr>
              <w:adjustRightInd w:val="0"/>
              <w:snapToGrid w:val="0"/>
              <w:spacing w:line="28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0"/>
                <w:szCs w:val="20"/>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64DC093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7BF52BB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未依法报送年度工作报告、财务会计报告或者报备募捐方案。</w:t>
            </w:r>
          </w:p>
        </w:tc>
        <w:tc>
          <w:tcPr>
            <w:tcW w:w="612" w:type="pct"/>
            <w:noWrap/>
            <w:vAlign w:val="center"/>
          </w:tcPr>
          <w:p w14:paraId="30FC9C7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37B1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608" w:hRule="exact"/>
          <w:jc w:val="center"/>
        </w:trPr>
        <w:tc>
          <w:tcPr>
            <w:tcW w:w="197" w:type="pct"/>
            <w:vMerge w:val="continue"/>
            <w:vAlign w:val="center"/>
          </w:tcPr>
          <w:p w14:paraId="1477BE5A">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A8E832F">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2E5D56A6">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3DA3BB8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675E2E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1BB6EF5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未依法报送年度工作报告、财务会计报告或者报备募捐方案受到警告的行政处罚并被责令限期改正，逾期未改正。</w:t>
            </w:r>
          </w:p>
        </w:tc>
        <w:tc>
          <w:tcPr>
            <w:tcW w:w="612" w:type="pct"/>
            <w:noWrap/>
            <w:vAlign w:val="center"/>
          </w:tcPr>
          <w:p w14:paraId="251306C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责令限期停止活动（1-6个月）；对直接负责的主管人员和其他直接责任人员处五万元以上不超过十万元以下罚款；没收违法所得。</w:t>
            </w:r>
          </w:p>
        </w:tc>
      </w:tr>
      <w:tr w14:paraId="5308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565" w:hRule="exact"/>
          <w:jc w:val="center"/>
        </w:trPr>
        <w:tc>
          <w:tcPr>
            <w:tcW w:w="197" w:type="pct"/>
            <w:vMerge w:val="continue"/>
            <w:vAlign w:val="center"/>
          </w:tcPr>
          <w:p w14:paraId="074B84C6">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122FDE6E">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13D896DE">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BAFBAB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40C79B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084E47C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未依法报送年度工作报告、财务会计报告或者报备募捐方案，出现《慈善法》第一百一十条第三款的情形。</w:t>
            </w:r>
          </w:p>
        </w:tc>
        <w:tc>
          <w:tcPr>
            <w:tcW w:w="612" w:type="pct"/>
            <w:noWrap/>
            <w:vAlign w:val="center"/>
          </w:tcPr>
          <w:p w14:paraId="4E9EE4A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吊销登记证书；对直接负责的主管人员和其他直接责任人员处十万元以上二十万元以下罚款，禁止其一年至五年内担任慈善组织的管理人员；没收违法所得。</w:t>
            </w:r>
          </w:p>
        </w:tc>
      </w:tr>
      <w:tr w14:paraId="75017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127" w:hRule="exact"/>
          <w:jc w:val="center"/>
        </w:trPr>
        <w:tc>
          <w:tcPr>
            <w:tcW w:w="197" w:type="pct"/>
            <w:vMerge w:val="restart"/>
            <w:noWrap/>
            <w:vAlign w:val="center"/>
          </w:tcPr>
          <w:p w14:paraId="16B883E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60</w:t>
            </w:r>
          </w:p>
        </w:tc>
        <w:tc>
          <w:tcPr>
            <w:tcW w:w="1054" w:type="pct"/>
            <w:gridSpan w:val="2"/>
            <w:vMerge w:val="restart"/>
            <w:noWrap/>
            <w:vAlign w:val="center"/>
          </w:tcPr>
          <w:p w14:paraId="03A4CEC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慈善组织泄露捐赠人、志愿者、受益人个人隐私以及捐赠人、慈善信托的委托人不同意公开的姓名、名称、住所、通讯方式等信息。</w:t>
            </w:r>
          </w:p>
        </w:tc>
        <w:tc>
          <w:tcPr>
            <w:tcW w:w="940" w:type="pct"/>
            <w:vMerge w:val="restart"/>
            <w:noWrap/>
            <w:vAlign w:val="center"/>
          </w:tcPr>
          <w:p w14:paraId="438C46F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《慈善法》第六十三条：开展慈善服务，应当尊重受益人、志愿者的人格尊严，不得侵害受益人、志愿者的隐私。</w:t>
            </w:r>
          </w:p>
          <w:p w14:paraId="5BD30E2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第八十二条：涉及国家秘密、商业秘密、个人隐私的信息以及捐赠人、慈善信托的委托人不同意公开的姓名、名称、住所、通讯方式等信息，不得公开。</w:t>
            </w:r>
          </w:p>
          <w:p w14:paraId="6837E80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《慈善组织信息公开办法》第二十一条：涉及国家秘密、商业秘密、个人隐私的信息以及捐赠人、志愿者、受益人、慈善信托的委托人不同意公开的姓名、名称、住所、通讯方式等信息，不得公开。</w:t>
            </w:r>
          </w:p>
        </w:tc>
        <w:tc>
          <w:tcPr>
            <w:tcW w:w="929" w:type="pct"/>
            <w:vMerge w:val="restart"/>
            <w:noWrap/>
            <w:vAlign w:val="center"/>
          </w:tcPr>
          <w:p w14:paraId="7231D1AA">
            <w:pPr>
              <w:adjustRightInd w:val="0"/>
              <w:snapToGrid w:val="0"/>
              <w:spacing w:line="26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《慈善法》第一百一十条：慈善组织有下列情形之一的，由县级以上人民政府民政部门责令限期改正，予以警告，并没收违法所得；逾期不改正的，责令限期停止活动并进行整改：</w:t>
            </w:r>
          </w:p>
          <w:p w14:paraId="311E21D6">
            <w:pPr>
              <w:adjustRightInd w:val="0"/>
              <w:snapToGrid w:val="0"/>
              <w:spacing w:line="26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41E5E69">
            <w:pPr>
              <w:adjustRightInd w:val="0"/>
              <w:snapToGrid w:val="0"/>
              <w:spacing w:line="26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（九）泄露捐赠人、志愿者、受益人个人隐私以及捐赠人、慈善信托的委托人不同意公开的姓名、名称、住所、通讯方式等信息的。</w:t>
            </w:r>
          </w:p>
          <w:p w14:paraId="1E05288D">
            <w:pPr>
              <w:adjustRightInd w:val="0"/>
              <w:snapToGrid w:val="0"/>
              <w:spacing w:line="26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6F2FA133">
            <w:pPr>
              <w:adjustRightInd w:val="0"/>
              <w:snapToGrid w:val="0"/>
              <w:spacing w:line="26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慈善组织有前两款规定的情形，经依法处理后一年内再出现前款规定的情形，或者有其他情节严重情形的，由民政部门吊销登记证书并予以公告。</w:t>
            </w:r>
          </w:p>
          <w:p w14:paraId="2587B5A2">
            <w:pPr>
              <w:adjustRightInd w:val="0"/>
              <w:snapToGrid w:val="0"/>
              <w:spacing w:line="26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2C7A387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47A6A12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泄露捐赠人、志愿者、受益人个人隐私以及捐赠人、慈善信托的委托人不同意公开的姓名、名称、住所、通讯方式等信息。</w:t>
            </w:r>
          </w:p>
        </w:tc>
        <w:tc>
          <w:tcPr>
            <w:tcW w:w="612" w:type="pct"/>
            <w:noWrap/>
            <w:vAlign w:val="center"/>
          </w:tcPr>
          <w:p w14:paraId="6610266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7831F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85" w:hRule="exact"/>
          <w:jc w:val="center"/>
        </w:trPr>
        <w:tc>
          <w:tcPr>
            <w:tcW w:w="197" w:type="pct"/>
            <w:vMerge w:val="continue"/>
            <w:vAlign w:val="center"/>
          </w:tcPr>
          <w:p w14:paraId="6FEC5185">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1A9B6DDF">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1A0C7E9">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1779BA8">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D0C853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6DC5496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泄露捐赠人、志愿者、受益人个人隐私以及捐赠人、慈善信托的委托人不同意公开的姓名、名称、住所、通讯方式等信息，受到警告的行政处罚并被责令限期改正，逾期未改正。</w:t>
            </w:r>
          </w:p>
        </w:tc>
        <w:tc>
          <w:tcPr>
            <w:tcW w:w="612" w:type="pct"/>
            <w:noWrap/>
            <w:vAlign w:val="center"/>
          </w:tcPr>
          <w:p w14:paraId="65A3B98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责令限期停止活动（1-6个月）；对直接负责的主管人员和其他直接责任人员处五万元以上不超过十万元罚款；没收违法所得。</w:t>
            </w:r>
          </w:p>
        </w:tc>
      </w:tr>
      <w:tr w14:paraId="5507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564" w:hRule="exact"/>
          <w:jc w:val="center"/>
        </w:trPr>
        <w:tc>
          <w:tcPr>
            <w:tcW w:w="197" w:type="pct"/>
            <w:vMerge w:val="continue"/>
            <w:vAlign w:val="center"/>
          </w:tcPr>
          <w:p w14:paraId="128CDEE3">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5A5E00CD">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5D8A1974">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75061D2F">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6D7CFEB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5EFB5B3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泄露捐赠人、志愿者、受益人个人隐私以及捐赠人、慈善信托的委托人不同意公开的姓名、名称、住所、通讯方式等信息，出现《慈善法》第一百一十条第三款的情形。</w:t>
            </w:r>
          </w:p>
        </w:tc>
        <w:tc>
          <w:tcPr>
            <w:tcW w:w="612" w:type="pct"/>
            <w:noWrap/>
            <w:vAlign w:val="center"/>
          </w:tcPr>
          <w:p w14:paraId="147FE41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吊销登记证书；对直接负责的主管人员和其他直接责任人员处十万元以上二十万元以下罚款，禁止其一年至五年内担任慈善组织的管理人员；没收违法所得。</w:t>
            </w:r>
          </w:p>
        </w:tc>
      </w:tr>
      <w:tr w14:paraId="4275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52" w:hRule="exact"/>
          <w:jc w:val="center"/>
        </w:trPr>
        <w:tc>
          <w:tcPr>
            <w:tcW w:w="197" w:type="pct"/>
            <w:vMerge w:val="restart"/>
            <w:noWrap/>
            <w:vAlign w:val="center"/>
          </w:tcPr>
          <w:p w14:paraId="61C13B2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61</w:t>
            </w:r>
          </w:p>
        </w:tc>
        <w:tc>
          <w:tcPr>
            <w:tcW w:w="1054" w:type="pct"/>
            <w:gridSpan w:val="2"/>
            <w:vMerge w:val="restart"/>
            <w:noWrap/>
            <w:vAlign w:val="center"/>
          </w:tcPr>
          <w:p w14:paraId="68A671A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w:t>
            </w:r>
            <w:r>
              <w:rPr>
                <w:rFonts w:hAnsi="宋体" w:cs="宋体"/>
                <w:color w:val="000000" w:themeColor="text1"/>
                <w:kern w:val="0"/>
                <w:sz w:val="21"/>
                <w:szCs w:val="21"/>
                <w14:textFill>
                  <w14:solidFill>
                    <w14:schemeClr w14:val="tx1"/>
                  </w14:solidFill>
                </w14:textFill>
              </w:rPr>
              <w:t>组织</w:t>
            </w:r>
            <w:r>
              <w:rPr>
                <w:rFonts w:hint="eastAsia" w:hAnsi="宋体" w:cs="宋体"/>
                <w:color w:val="000000" w:themeColor="text1"/>
                <w:kern w:val="0"/>
                <w:sz w:val="21"/>
                <w:szCs w:val="21"/>
                <w14:textFill>
                  <w14:solidFill>
                    <w14:schemeClr w14:val="tx1"/>
                  </w14:solidFill>
                </w14:textFill>
              </w:rPr>
              <w:t>在开展募捐活动中通过虚构事实等方式欺骗、诱导募捐对象实施捐赠。</w:t>
            </w:r>
          </w:p>
        </w:tc>
        <w:tc>
          <w:tcPr>
            <w:tcW w:w="940" w:type="pct"/>
            <w:vMerge w:val="restart"/>
            <w:noWrap/>
            <w:vAlign w:val="center"/>
          </w:tcPr>
          <w:p w14:paraId="1FC0EE6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《慈善法》第三十一条：开展募捐活动，应当尊重和维护募捐对象的合法权益，保障募捐对象的知情权，不得通过虚构事实等方式欺骗、诱导募捐对象实施捐赠。</w:t>
            </w:r>
          </w:p>
        </w:tc>
        <w:tc>
          <w:tcPr>
            <w:tcW w:w="929" w:type="pct"/>
            <w:vMerge w:val="restart"/>
            <w:noWrap/>
            <w:vAlign w:val="center"/>
          </w:tcPr>
          <w:p w14:paraId="5985CAC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一条：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w:t>
            </w:r>
          </w:p>
          <w:p w14:paraId="2F09946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（一）通过虚构事实等方式欺骗、诱导募捐对象实施捐赠的；</w:t>
            </w:r>
          </w:p>
          <w:p w14:paraId="7D39E9E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68A2910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7276891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4D892E7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欺骗、诱导募捐对象实施捐赠的数额不超过十万元；社会不良影响较小或能主动消除（减轻）危害后果；其他情节较轻。</w:t>
            </w:r>
          </w:p>
        </w:tc>
        <w:tc>
          <w:tcPr>
            <w:tcW w:w="612" w:type="pct"/>
            <w:noWrap/>
            <w:vAlign w:val="center"/>
          </w:tcPr>
          <w:p w14:paraId="78D5122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6599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236" w:hRule="exact"/>
          <w:jc w:val="center"/>
        </w:trPr>
        <w:tc>
          <w:tcPr>
            <w:tcW w:w="197" w:type="pct"/>
            <w:vMerge w:val="continue"/>
            <w:vAlign w:val="center"/>
          </w:tcPr>
          <w:p w14:paraId="306DDB64">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036303C0">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0EF9F8DA">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01B3F990">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9BBA0B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4ABC2BF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欺骗、诱导募捐对象实施捐赠的数额十万元以上不超过五十万元；造成较大不良社会影响，或者有其他情节较重情形。</w:t>
            </w:r>
          </w:p>
        </w:tc>
        <w:tc>
          <w:tcPr>
            <w:tcW w:w="612" w:type="pct"/>
            <w:noWrap/>
            <w:vAlign w:val="center"/>
          </w:tcPr>
          <w:p w14:paraId="2F5AB13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警告；对直接负责的主管人员和其他直接责任人员处五万元以上不超过十万元罚款；没收违法所得。</w:t>
            </w:r>
          </w:p>
        </w:tc>
      </w:tr>
      <w:tr w14:paraId="6861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17" w:hRule="exact"/>
          <w:jc w:val="center"/>
        </w:trPr>
        <w:tc>
          <w:tcPr>
            <w:tcW w:w="197" w:type="pct"/>
            <w:vMerge w:val="continue"/>
            <w:vAlign w:val="center"/>
          </w:tcPr>
          <w:p w14:paraId="67896A7F">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5DEE324E">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1FB5B4EE">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7DDE2B7A">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98600B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0AC39C6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欺骗、诱导募捐对象实施捐赠的数额五十万元以上；造成严重不良社会影响，或者有其他情节严重情形。</w:t>
            </w:r>
          </w:p>
        </w:tc>
        <w:tc>
          <w:tcPr>
            <w:tcW w:w="612" w:type="pct"/>
            <w:noWrap/>
            <w:vAlign w:val="center"/>
          </w:tcPr>
          <w:p w14:paraId="43FE0362">
            <w:pPr>
              <w:adjustRightInd w:val="0"/>
              <w:snapToGrid w:val="0"/>
              <w:spacing w:line="28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吊销公开募捐资格证书或者登记证书并予以公告；对直接负责的主管人员和其他直接责任人员处十万元以上二十万元以下罚款，禁止其一年至五年内担任慈善组织的管理人员；没收违法所得。</w:t>
            </w:r>
          </w:p>
        </w:tc>
      </w:tr>
      <w:tr w14:paraId="1A79A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00" w:hRule="exact"/>
          <w:jc w:val="center"/>
        </w:trPr>
        <w:tc>
          <w:tcPr>
            <w:tcW w:w="197" w:type="pct"/>
            <w:vMerge w:val="restart"/>
            <w:noWrap/>
            <w:vAlign w:val="center"/>
          </w:tcPr>
          <w:p w14:paraId="6A4A6BE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62</w:t>
            </w:r>
          </w:p>
        </w:tc>
        <w:tc>
          <w:tcPr>
            <w:tcW w:w="1054" w:type="pct"/>
            <w:gridSpan w:val="2"/>
            <w:vMerge w:val="restart"/>
            <w:noWrap/>
            <w:vAlign w:val="center"/>
          </w:tcPr>
          <w:p w14:paraId="20F1A76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w:t>
            </w:r>
            <w:r>
              <w:rPr>
                <w:rFonts w:hAnsi="宋体" w:cs="宋体"/>
                <w:color w:val="000000" w:themeColor="text1"/>
                <w:kern w:val="0"/>
                <w:sz w:val="21"/>
                <w:szCs w:val="21"/>
                <w14:textFill>
                  <w14:solidFill>
                    <w14:schemeClr w14:val="tx1"/>
                  </w14:solidFill>
                </w14:textFill>
              </w:rPr>
              <w:t>组织</w:t>
            </w:r>
            <w:r>
              <w:rPr>
                <w:rFonts w:hint="eastAsia" w:hAnsi="宋体" w:cs="宋体"/>
                <w:color w:val="000000" w:themeColor="text1"/>
                <w:kern w:val="0"/>
                <w:sz w:val="21"/>
                <w:szCs w:val="21"/>
                <w14:textFill>
                  <w14:solidFill>
                    <w14:schemeClr w14:val="tx1"/>
                  </w14:solidFill>
                </w14:textFill>
              </w:rPr>
              <w:t>在开展募捐活动中，向单位或者个人摊派或者变相摊派。</w:t>
            </w:r>
          </w:p>
        </w:tc>
        <w:tc>
          <w:tcPr>
            <w:tcW w:w="940" w:type="pct"/>
            <w:vMerge w:val="restart"/>
            <w:noWrap/>
            <w:vAlign w:val="center"/>
          </w:tcPr>
          <w:p w14:paraId="4172640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《慈善法》第三十二条：开展募捐活动，不得摊派或者变相摊派，不得妨碍公共秩序、企业生产经营和居民生活。</w:t>
            </w:r>
          </w:p>
        </w:tc>
        <w:tc>
          <w:tcPr>
            <w:tcW w:w="929" w:type="pct"/>
            <w:vMerge w:val="restart"/>
            <w:noWrap/>
            <w:vAlign w:val="center"/>
          </w:tcPr>
          <w:p w14:paraId="4E74864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一条：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w:t>
            </w:r>
          </w:p>
          <w:p w14:paraId="5C9755A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4FC59B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（二）向单位或者个人摊派或者变相摊派的；</w:t>
            </w:r>
          </w:p>
          <w:p w14:paraId="28EBBFA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1546D3D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09EB061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4EF2149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摊派或者变相摊派的数额不超过十万元；社会不良影响较小或能主动消除（减轻）危害后果；其他情节较轻。</w:t>
            </w:r>
          </w:p>
        </w:tc>
        <w:tc>
          <w:tcPr>
            <w:tcW w:w="612" w:type="pct"/>
            <w:noWrap/>
            <w:vAlign w:val="center"/>
          </w:tcPr>
          <w:p w14:paraId="4886619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03245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110" w:hRule="exact"/>
          <w:jc w:val="center"/>
        </w:trPr>
        <w:tc>
          <w:tcPr>
            <w:tcW w:w="197" w:type="pct"/>
            <w:vMerge w:val="continue"/>
            <w:vAlign w:val="center"/>
          </w:tcPr>
          <w:p w14:paraId="43A0E2EA">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29A7A342">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6CB6C68F">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040C89A">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031C849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1032921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摊派或者变相摊派的数额十万元以上不超过五十万元；造成较大不良社会影响，或者有其他情节较重情形。</w:t>
            </w:r>
          </w:p>
        </w:tc>
        <w:tc>
          <w:tcPr>
            <w:tcW w:w="612" w:type="pct"/>
            <w:noWrap/>
            <w:vAlign w:val="center"/>
          </w:tcPr>
          <w:p w14:paraId="20FEAC5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警告；对直接负责的主管人员和其他直接责任人员处五万元以上不超过十万元罚款；没收违法所得。</w:t>
            </w:r>
          </w:p>
        </w:tc>
      </w:tr>
      <w:tr w14:paraId="12191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179" w:hRule="exact"/>
          <w:jc w:val="center"/>
        </w:trPr>
        <w:tc>
          <w:tcPr>
            <w:tcW w:w="197" w:type="pct"/>
            <w:vMerge w:val="continue"/>
            <w:vAlign w:val="center"/>
          </w:tcPr>
          <w:p w14:paraId="732B5647">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FDBE257">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B3BE5D4">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B71027C">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0A3A45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71C810A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摊派或者变相摊派的数额五十万元以上；造成严重不良社会影响，或者有其他情节严重情形。</w:t>
            </w:r>
          </w:p>
        </w:tc>
        <w:tc>
          <w:tcPr>
            <w:tcW w:w="612" w:type="pct"/>
            <w:noWrap/>
            <w:vAlign w:val="center"/>
          </w:tcPr>
          <w:p w14:paraId="7BEB4A7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吊销公开募捐资格证书或者登记证书并予以公告；对直接负责的主管人员和其他直接责任人员处十万元以上二十万元以下罚款，禁止其一年至五年内担任慈善组织的管理人员；没收违法所得。</w:t>
            </w:r>
          </w:p>
        </w:tc>
      </w:tr>
      <w:tr w14:paraId="2F48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60" w:hRule="exact"/>
          <w:jc w:val="center"/>
        </w:trPr>
        <w:tc>
          <w:tcPr>
            <w:tcW w:w="197" w:type="pct"/>
            <w:vMerge w:val="restart"/>
            <w:noWrap/>
            <w:vAlign w:val="center"/>
          </w:tcPr>
          <w:p w14:paraId="0716D68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63</w:t>
            </w:r>
          </w:p>
        </w:tc>
        <w:tc>
          <w:tcPr>
            <w:tcW w:w="1054" w:type="pct"/>
            <w:gridSpan w:val="2"/>
            <w:vMerge w:val="restart"/>
            <w:noWrap/>
            <w:vAlign w:val="center"/>
          </w:tcPr>
          <w:p w14:paraId="2340810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w:t>
            </w:r>
            <w:r>
              <w:rPr>
                <w:rFonts w:hAnsi="宋体" w:cs="宋体"/>
                <w:color w:val="000000" w:themeColor="text1"/>
                <w:kern w:val="0"/>
                <w:sz w:val="21"/>
                <w:szCs w:val="21"/>
                <w14:textFill>
                  <w14:solidFill>
                    <w14:schemeClr w14:val="tx1"/>
                  </w14:solidFill>
                </w14:textFill>
              </w:rPr>
              <w:t>组织</w:t>
            </w:r>
            <w:r>
              <w:rPr>
                <w:rFonts w:hint="eastAsia" w:hAnsi="宋体" w:cs="宋体"/>
                <w:color w:val="000000" w:themeColor="text1"/>
                <w:kern w:val="0"/>
                <w:sz w:val="21"/>
                <w:szCs w:val="21"/>
                <w14:textFill>
                  <w14:solidFill>
                    <w14:schemeClr w14:val="tx1"/>
                  </w14:solidFill>
                </w14:textFill>
              </w:rPr>
              <w:t>在开展募捐活动中，妨碍公共秩序、企业生产经营或者居民生活。</w:t>
            </w:r>
          </w:p>
        </w:tc>
        <w:tc>
          <w:tcPr>
            <w:tcW w:w="940" w:type="pct"/>
            <w:vMerge w:val="restart"/>
            <w:noWrap/>
            <w:vAlign w:val="center"/>
          </w:tcPr>
          <w:p w14:paraId="42986E4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《慈善法》第三十二条：开展募捐活动，不得摊派或者变相摊派，不得妨碍公共秩序、企业生产经营和居民生活。</w:t>
            </w:r>
          </w:p>
        </w:tc>
        <w:tc>
          <w:tcPr>
            <w:tcW w:w="929" w:type="pct"/>
            <w:vMerge w:val="restart"/>
            <w:noWrap/>
            <w:vAlign w:val="center"/>
          </w:tcPr>
          <w:p w14:paraId="3B52607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一条：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w:t>
            </w:r>
          </w:p>
          <w:p w14:paraId="1B18D51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BE8861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（三）妨碍公共秩序、企业生产经营或者居民生活的；</w:t>
            </w:r>
          </w:p>
          <w:p w14:paraId="5FEFCEA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008AAE2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340D802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35CD53F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妨碍公共秩序、企业生产经营或者居民生活情节较轻；社会不良影响较小或能主动消除（减轻）危害后果；其他情节较轻。</w:t>
            </w:r>
          </w:p>
        </w:tc>
        <w:tc>
          <w:tcPr>
            <w:tcW w:w="612" w:type="pct"/>
            <w:noWrap/>
            <w:vAlign w:val="center"/>
          </w:tcPr>
          <w:p w14:paraId="1DCC3B9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4F41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864" w:hRule="exact"/>
          <w:jc w:val="center"/>
        </w:trPr>
        <w:tc>
          <w:tcPr>
            <w:tcW w:w="197" w:type="pct"/>
            <w:vMerge w:val="continue"/>
            <w:vAlign w:val="center"/>
          </w:tcPr>
          <w:p w14:paraId="34AC16A8">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02263CB">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52BACCD8">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031A3ACE">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616CD6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520E5CB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妨碍公共秩序、企业生产经营或者居民生活造成较大不良社会影响；具有其他情节较重情形。</w:t>
            </w:r>
          </w:p>
        </w:tc>
        <w:tc>
          <w:tcPr>
            <w:tcW w:w="612" w:type="pct"/>
            <w:noWrap/>
            <w:vAlign w:val="center"/>
          </w:tcPr>
          <w:p w14:paraId="5FBA849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警告；对直接负责的主管人员和其他直接责任人员处五万元以上不超过十万元罚款；没收违法所得。</w:t>
            </w:r>
          </w:p>
        </w:tc>
      </w:tr>
      <w:tr w14:paraId="1E60D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328" w:hRule="exact"/>
          <w:jc w:val="center"/>
        </w:trPr>
        <w:tc>
          <w:tcPr>
            <w:tcW w:w="197" w:type="pct"/>
            <w:vMerge w:val="continue"/>
            <w:vAlign w:val="center"/>
          </w:tcPr>
          <w:p w14:paraId="5E2ADEB2">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5D35575">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412E1611">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762ED784">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129630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33AFF94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妨碍公共秩序、企业生产经营或者居民生活造成严重不良社会影响；具有其他情节严重情形。</w:t>
            </w:r>
          </w:p>
        </w:tc>
        <w:tc>
          <w:tcPr>
            <w:tcW w:w="612" w:type="pct"/>
            <w:noWrap/>
            <w:vAlign w:val="center"/>
          </w:tcPr>
          <w:p w14:paraId="2E7A265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吊销公开募捐资格证书或者登记证书并予以公告，；对直接负责的主管人员和其他直接责任人员处十万元以上二十万元以下罚款，禁止其一年至五年内担任慈善组织的管理人员；没收违法所得。</w:t>
            </w:r>
          </w:p>
        </w:tc>
      </w:tr>
      <w:tr w14:paraId="41C05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14" w:hRule="exact"/>
          <w:jc w:val="center"/>
        </w:trPr>
        <w:tc>
          <w:tcPr>
            <w:tcW w:w="197" w:type="pct"/>
            <w:vMerge w:val="restart"/>
            <w:noWrap/>
            <w:vAlign w:val="center"/>
          </w:tcPr>
          <w:p w14:paraId="03F8FB79">
            <w:pPr>
              <w:adjustRightInd w:val="0"/>
              <w:snapToGrid w:val="0"/>
              <w:jc w:val="center"/>
              <w:rPr>
                <w:rFonts w:hAnsi="宋体" w:cs="宋体"/>
                <w:b/>
                <w:bCs/>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64</w:t>
            </w:r>
          </w:p>
        </w:tc>
        <w:tc>
          <w:tcPr>
            <w:tcW w:w="1054" w:type="pct"/>
            <w:gridSpan w:val="2"/>
            <w:vMerge w:val="restart"/>
            <w:noWrap/>
            <w:vAlign w:val="center"/>
          </w:tcPr>
          <w:p w14:paraId="2DCEA18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慈善组织在开展募捐活动中与不具有公开募捐资格的组织或者个人合作，违反《慈善法》第二十六条规定。</w:t>
            </w:r>
          </w:p>
        </w:tc>
        <w:tc>
          <w:tcPr>
            <w:tcW w:w="940" w:type="pct"/>
            <w:vMerge w:val="restart"/>
            <w:noWrap/>
            <w:vAlign w:val="center"/>
          </w:tcPr>
          <w:p w14:paraId="61CD976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二十六条：不具有公开募捐资格的组织或者个人基于慈善目的，可以与具有公开募捐资格的慈善组织合作，由该慈善组织开展公开募捐，合作方不得以任何形式自行开展公开募捐。具有公开募捐资格的慈善组织应当对合作方进行评估，依法签订书面协议，在募捐方案中载明合作方的相关信息，并对合作方的相关行为进行指导和监督。</w:t>
            </w:r>
          </w:p>
          <w:p w14:paraId="631BC39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具有公开募捐资格的慈善组织负责对合作募得的款物进行管理和会计核算，将全部收支纳入其账户。</w:t>
            </w:r>
          </w:p>
          <w:p w14:paraId="1AD0663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公开募捐管理办法》第十八条第一款：具有公开募捐资格的慈善组织与不具有公开募捐资格的组织或者个人合作开展公开募捐活动，应当基于慈善目的并承担相应法律责任。不具有公开募捐资格的合作方不得以任何形式自行开展公开募捐。</w:t>
            </w:r>
          </w:p>
        </w:tc>
        <w:tc>
          <w:tcPr>
            <w:tcW w:w="929" w:type="pct"/>
            <w:vMerge w:val="restart"/>
            <w:noWrap/>
            <w:vAlign w:val="center"/>
          </w:tcPr>
          <w:p w14:paraId="381FC71D">
            <w:pPr>
              <w:adjustRightInd w:val="0"/>
              <w:snapToGrid w:val="0"/>
              <w:spacing w:line="28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一条：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w:t>
            </w:r>
          </w:p>
          <w:p w14:paraId="44DDC079">
            <w:pPr>
              <w:adjustRightInd w:val="0"/>
              <w:snapToGrid w:val="0"/>
              <w:spacing w:line="28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5414C839">
            <w:pPr>
              <w:adjustRightInd w:val="0"/>
              <w:snapToGrid w:val="0"/>
              <w:spacing w:line="28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（四）与不具有公开募捐资格的组织或者个人合作，违反本法第二十六条规定；</w:t>
            </w:r>
          </w:p>
          <w:p w14:paraId="3E22DD42">
            <w:pPr>
              <w:adjustRightInd w:val="0"/>
              <w:snapToGrid w:val="0"/>
              <w:spacing w:line="28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23595EF9">
            <w:pPr>
              <w:adjustRightInd w:val="0"/>
              <w:snapToGrid w:val="0"/>
              <w:spacing w:line="28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413F399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45D2C6F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违反《慈善法》第二十六条规定，情节较轻；社会不良影响较小或能主动消除（减轻）危害后果。</w:t>
            </w:r>
          </w:p>
        </w:tc>
        <w:tc>
          <w:tcPr>
            <w:tcW w:w="612" w:type="pct"/>
            <w:noWrap/>
            <w:vAlign w:val="center"/>
          </w:tcPr>
          <w:p w14:paraId="04B04E7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警告；直接负责的主管人员和其他直接责任人员处二万元以上不超过五万元罚款；没收违法所得。</w:t>
            </w:r>
          </w:p>
        </w:tc>
      </w:tr>
      <w:tr w14:paraId="0D5DC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35" w:hRule="exact"/>
          <w:jc w:val="center"/>
        </w:trPr>
        <w:tc>
          <w:tcPr>
            <w:tcW w:w="197" w:type="pct"/>
            <w:vMerge w:val="continue"/>
            <w:noWrap/>
            <w:vAlign w:val="center"/>
          </w:tcPr>
          <w:p w14:paraId="2FD56125">
            <w:pPr>
              <w:adjustRightInd w:val="0"/>
              <w:snapToGrid w:val="0"/>
              <w:jc w:val="center"/>
              <w:rPr>
                <w:rFonts w:hAnsi="宋体" w:cs="宋体"/>
                <w:b/>
                <w:bCs/>
                <w:color w:val="000000" w:themeColor="text1"/>
                <w:kern w:val="0"/>
                <w:sz w:val="21"/>
                <w:szCs w:val="21"/>
                <w14:textFill>
                  <w14:solidFill>
                    <w14:schemeClr w14:val="tx1"/>
                  </w14:solidFill>
                </w14:textFill>
              </w:rPr>
            </w:pPr>
          </w:p>
        </w:tc>
        <w:tc>
          <w:tcPr>
            <w:tcW w:w="1054" w:type="pct"/>
            <w:gridSpan w:val="2"/>
            <w:vMerge w:val="continue"/>
            <w:noWrap/>
            <w:vAlign w:val="center"/>
          </w:tcPr>
          <w:p w14:paraId="72A1F76F">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noWrap/>
            <w:vAlign w:val="center"/>
          </w:tcPr>
          <w:p w14:paraId="463EF0B5">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noWrap/>
            <w:vAlign w:val="center"/>
          </w:tcPr>
          <w:p w14:paraId="1670D826">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0893443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35ED18A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违反《慈善法》第二十六条规定，造成较大不良社会影响；具有其他情节较重情形。</w:t>
            </w:r>
          </w:p>
        </w:tc>
        <w:tc>
          <w:tcPr>
            <w:tcW w:w="612" w:type="pct"/>
            <w:noWrap/>
            <w:vAlign w:val="center"/>
          </w:tcPr>
          <w:p w14:paraId="1D6EB2F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警告；直接负责的主管人员和其他直接责任人员处五万元以上不超过十万元罚款；没收违法所得。</w:t>
            </w:r>
          </w:p>
        </w:tc>
      </w:tr>
      <w:tr w14:paraId="4120A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10" w:hRule="exact"/>
          <w:jc w:val="center"/>
        </w:trPr>
        <w:tc>
          <w:tcPr>
            <w:tcW w:w="197" w:type="pct"/>
            <w:vMerge w:val="continue"/>
            <w:noWrap/>
            <w:vAlign w:val="center"/>
          </w:tcPr>
          <w:p w14:paraId="3CADBD19">
            <w:pPr>
              <w:adjustRightInd w:val="0"/>
              <w:snapToGrid w:val="0"/>
              <w:jc w:val="center"/>
              <w:rPr>
                <w:rFonts w:hAnsi="宋体" w:cs="宋体"/>
                <w:b/>
                <w:bCs/>
                <w:color w:val="000000" w:themeColor="text1"/>
                <w:kern w:val="0"/>
                <w:sz w:val="21"/>
                <w:szCs w:val="21"/>
                <w14:textFill>
                  <w14:solidFill>
                    <w14:schemeClr w14:val="tx1"/>
                  </w14:solidFill>
                </w14:textFill>
              </w:rPr>
            </w:pPr>
          </w:p>
        </w:tc>
        <w:tc>
          <w:tcPr>
            <w:tcW w:w="1054" w:type="pct"/>
            <w:gridSpan w:val="2"/>
            <w:vMerge w:val="continue"/>
            <w:noWrap/>
            <w:vAlign w:val="center"/>
          </w:tcPr>
          <w:p w14:paraId="5CC24ACE">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noWrap/>
            <w:vAlign w:val="center"/>
          </w:tcPr>
          <w:p w14:paraId="661B724E">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noWrap/>
            <w:vAlign w:val="center"/>
          </w:tcPr>
          <w:p w14:paraId="047FAAC1">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B52C0C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4806C93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违反《慈善法》第二十六条规定，造成严重不良社会影响；具有其他情节严重情形。</w:t>
            </w:r>
          </w:p>
        </w:tc>
        <w:tc>
          <w:tcPr>
            <w:tcW w:w="612" w:type="pct"/>
            <w:noWrap/>
            <w:vAlign w:val="center"/>
          </w:tcPr>
          <w:p w14:paraId="20134414">
            <w:pPr>
              <w:adjustRightInd w:val="0"/>
              <w:snapToGrid w:val="0"/>
              <w:spacing w:line="28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吊销公开募捐资格证书或者登记证书并予以公告；对直接负责的主管人员和其他直接责任人员处十万元以上二十万元以下罚款，禁止其一年至五年内担任慈善组织的管理人员；没收违法所得。</w:t>
            </w:r>
          </w:p>
        </w:tc>
      </w:tr>
      <w:tr w14:paraId="5237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11" w:hRule="exact"/>
          <w:jc w:val="center"/>
        </w:trPr>
        <w:tc>
          <w:tcPr>
            <w:tcW w:w="197" w:type="pct"/>
            <w:vMerge w:val="restart"/>
            <w:noWrap/>
            <w:vAlign w:val="center"/>
          </w:tcPr>
          <w:p w14:paraId="705E47FB">
            <w:pPr>
              <w:adjustRightInd w:val="0"/>
              <w:snapToGrid w:val="0"/>
              <w:jc w:val="center"/>
              <w:rPr>
                <w:rFonts w:hAnsi="宋体" w:cs="宋体"/>
                <w:b/>
                <w:bCs/>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65</w:t>
            </w:r>
          </w:p>
        </w:tc>
        <w:tc>
          <w:tcPr>
            <w:tcW w:w="1054" w:type="pct"/>
            <w:gridSpan w:val="2"/>
            <w:vMerge w:val="restart"/>
            <w:noWrap/>
            <w:vAlign w:val="center"/>
          </w:tcPr>
          <w:p w14:paraId="10CD96B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慈善组织在开展募捐活动中通过互联网开展公开募捐，违反慈善法第二十七条规定。</w:t>
            </w:r>
          </w:p>
        </w:tc>
        <w:tc>
          <w:tcPr>
            <w:tcW w:w="940" w:type="pct"/>
            <w:vMerge w:val="restart"/>
            <w:noWrap/>
            <w:vAlign w:val="center"/>
          </w:tcPr>
          <w:p w14:paraId="4990984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《慈善法》第二十七条：慈善组织通过互联网开展公开募捐的，应当在国务院民政部门指定的互联网公开募捐服务平台进行，并可以同时在其网站进行。</w:t>
            </w:r>
          </w:p>
        </w:tc>
        <w:tc>
          <w:tcPr>
            <w:tcW w:w="929" w:type="pct"/>
            <w:vMerge w:val="restart"/>
            <w:noWrap/>
            <w:vAlign w:val="center"/>
          </w:tcPr>
          <w:p w14:paraId="1EAD105F">
            <w:pPr>
              <w:adjustRightInd w:val="0"/>
              <w:snapToGrid w:val="0"/>
              <w:spacing w:line="28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一条：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w:t>
            </w:r>
          </w:p>
          <w:p w14:paraId="31E8EEC4">
            <w:pPr>
              <w:adjustRightInd w:val="0"/>
              <w:snapToGrid w:val="0"/>
              <w:spacing w:line="28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29422559">
            <w:pPr>
              <w:adjustRightInd w:val="0"/>
              <w:snapToGrid w:val="0"/>
              <w:spacing w:line="28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（五）通过互联网开展公开募捐，违反本法第二十七条规定的；</w:t>
            </w:r>
          </w:p>
          <w:p w14:paraId="6CBF00C9">
            <w:pPr>
              <w:adjustRightInd w:val="0"/>
              <w:snapToGrid w:val="0"/>
              <w:spacing w:line="28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302BE5D5">
            <w:pPr>
              <w:adjustRightInd w:val="0"/>
              <w:snapToGrid w:val="0"/>
              <w:spacing w:line="28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769A8ED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24028C55">
            <w:pPr>
              <w:adjustRightInd w:val="0"/>
              <w:snapToGrid w:val="0"/>
              <w:rPr>
                <w:rFonts w:hAnsi="宋体" w:cs="宋体"/>
                <w:color w:val="000000" w:themeColor="text1"/>
                <w:kern w:val="0"/>
                <w:sz w:val="21"/>
                <w:szCs w:val="21"/>
                <w14:textFill>
                  <w14:solidFill>
                    <w14:schemeClr w14:val="tx1"/>
                  </w14:solidFill>
                </w14:textFill>
              </w:rPr>
            </w:pPr>
          </w:p>
          <w:p w14:paraId="636BEB23">
            <w:pPr>
              <w:adjustRightInd w:val="0"/>
              <w:snapToGrid w:val="0"/>
              <w:rPr>
                <w:rFonts w:hAnsi="宋体" w:cs="宋体"/>
                <w:strike/>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违反《慈善法》第二十七条规定，情节较轻；社会不良影响较小或能主动消除（减轻）危害后果。</w:t>
            </w:r>
          </w:p>
          <w:p w14:paraId="3973A02E">
            <w:pPr>
              <w:adjustRightInd w:val="0"/>
              <w:snapToGrid w:val="0"/>
              <w:rPr>
                <w:rFonts w:hAnsi="宋体" w:cs="宋体"/>
                <w:color w:val="000000" w:themeColor="text1"/>
                <w:kern w:val="0"/>
                <w:sz w:val="21"/>
                <w:szCs w:val="21"/>
                <w14:textFill>
                  <w14:solidFill>
                    <w14:schemeClr w14:val="tx1"/>
                  </w14:solidFill>
                </w14:textFill>
              </w:rPr>
            </w:pPr>
          </w:p>
        </w:tc>
        <w:tc>
          <w:tcPr>
            <w:tcW w:w="612" w:type="pct"/>
            <w:noWrap/>
            <w:vAlign w:val="center"/>
          </w:tcPr>
          <w:p w14:paraId="3D89922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6330E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35" w:hRule="exact"/>
          <w:jc w:val="center"/>
        </w:trPr>
        <w:tc>
          <w:tcPr>
            <w:tcW w:w="197" w:type="pct"/>
            <w:vMerge w:val="continue"/>
            <w:noWrap/>
            <w:vAlign w:val="center"/>
          </w:tcPr>
          <w:p w14:paraId="2B4F4E14">
            <w:pPr>
              <w:adjustRightInd w:val="0"/>
              <w:snapToGrid w:val="0"/>
              <w:jc w:val="center"/>
              <w:rPr>
                <w:rFonts w:hAnsi="宋体" w:cs="宋体"/>
                <w:b/>
                <w:bCs/>
                <w:color w:val="000000" w:themeColor="text1"/>
                <w:kern w:val="0"/>
                <w:sz w:val="21"/>
                <w:szCs w:val="21"/>
                <w14:textFill>
                  <w14:solidFill>
                    <w14:schemeClr w14:val="tx1"/>
                  </w14:solidFill>
                </w14:textFill>
              </w:rPr>
            </w:pPr>
          </w:p>
        </w:tc>
        <w:tc>
          <w:tcPr>
            <w:tcW w:w="1054" w:type="pct"/>
            <w:gridSpan w:val="2"/>
            <w:vMerge w:val="continue"/>
            <w:noWrap/>
            <w:vAlign w:val="center"/>
          </w:tcPr>
          <w:p w14:paraId="6D302593">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noWrap/>
            <w:vAlign w:val="center"/>
          </w:tcPr>
          <w:p w14:paraId="57F63B85">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noWrap/>
            <w:vAlign w:val="center"/>
          </w:tcPr>
          <w:p w14:paraId="0533EABE">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39DA2A0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6396B73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违反《慈善法》第二十七条规定，造成较大不良社会影响；具有其他情节较重情形。</w:t>
            </w:r>
          </w:p>
          <w:p w14:paraId="352DAD00">
            <w:pPr>
              <w:adjustRightInd w:val="0"/>
              <w:snapToGrid w:val="0"/>
              <w:rPr>
                <w:rFonts w:hAnsi="宋体" w:cs="宋体"/>
                <w:color w:val="000000" w:themeColor="text1"/>
                <w:kern w:val="0"/>
                <w:sz w:val="21"/>
                <w:szCs w:val="21"/>
                <w14:textFill>
                  <w14:solidFill>
                    <w14:schemeClr w14:val="tx1"/>
                  </w14:solidFill>
                </w14:textFill>
              </w:rPr>
            </w:pPr>
          </w:p>
        </w:tc>
        <w:tc>
          <w:tcPr>
            <w:tcW w:w="612" w:type="pct"/>
            <w:noWrap/>
            <w:vAlign w:val="center"/>
          </w:tcPr>
          <w:p w14:paraId="79C2070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警告；对直接负责的主管人员和其他直接责任人员处五万元以上不超过十万元罚款；没收违法所得。</w:t>
            </w:r>
          </w:p>
        </w:tc>
      </w:tr>
      <w:tr w14:paraId="37245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220" w:hRule="exact"/>
          <w:jc w:val="center"/>
        </w:trPr>
        <w:tc>
          <w:tcPr>
            <w:tcW w:w="197" w:type="pct"/>
            <w:vMerge w:val="continue"/>
            <w:noWrap/>
            <w:vAlign w:val="center"/>
          </w:tcPr>
          <w:p w14:paraId="4A52C400">
            <w:pPr>
              <w:adjustRightInd w:val="0"/>
              <w:snapToGrid w:val="0"/>
              <w:jc w:val="center"/>
              <w:rPr>
                <w:rFonts w:hAnsi="宋体" w:cs="宋体"/>
                <w:b/>
                <w:bCs/>
                <w:color w:val="000000" w:themeColor="text1"/>
                <w:kern w:val="0"/>
                <w:sz w:val="21"/>
                <w:szCs w:val="21"/>
                <w14:textFill>
                  <w14:solidFill>
                    <w14:schemeClr w14:val="tx1"/>
                  </w14:solidFill>
                </w14:textFill>
              </w:rPr>
            </w:pPr>
          </w:p>
        </w:tc>
        <w:tc>
          <w:tcPr>
            <w:tcW w:w="1054" w:type="pct"/>
            <w:gridSpan w:val="2"/>
            <w:vMerge w:val="continue"/>
            <w:noWrap/>
            <w:vAlign w:val="center"/>
          </w:tcPr>
          <w:p w14:paraId="53E8F9DE">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noWrap/>
            <w:vAlign w:val="center"/>
          </w:tcPr>
          <w:p w14:paraId="1D8472B4">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noWrap/>
            <w:vAlign w:val="center"/>
          </w:tcPr>
          <w:p w14:paraId="42B3E736">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3065919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79E6C39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违反《慈善法》第二十七条规定，造成严重不良社会影响；具有其他情节严重情形。</w:t>
            </w:r>
          </w:p>
        </w:tc>
        <w:tc>
          <w:tcPr>
            <w:tcW w:w="612" w:type="pct"/>
            <w:noWrap/>
            <w:vAlign w:val="center"/>
          </w:tcPr>
          <w:p w14:paraId="0FDDD6B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吊销公开募捐资格证书或者登记证书并予以公告；对直接负责的主管人员和其他直接责任人员处十万元以上二十万元以下罚款，禁止其一年至五年内担任慈善组织的管理人员；没收违法所得。</w:t>
            </w:r>
          </w:p>
        </w:tc>
      </w:tr>
      <w:tr w14:paraId="7303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58" w:hRule="exact"/>
          <w:jc w:val="center"/>
        </w:trPr>
        <w:tc>
          <w:tcPr>
            <w:tcW w:w="197" w:type="pct"/>
            <w:vMerge w:val="restart"/>
            <w:noWrap/>
            <w:vAlign w:val="center"/>
          </w:tcPr>
          <w:p w14:paraId="450ABBD2">
            <w:pPr>
              <w:adjustRightInd w:val="0"/>
              <w:snapToGrid w:val="0"/>
              <w:jc w:val="center"/>
              <w:rPr>
                <w:rFonts w:hAnsi="宋体" w:cs="宋体"/>
                <w:b/>
                <w:bCs/>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66</w:t>
            </w:r>
          </w:p>
        </w:tc>
        <w:tc>
          <w:tcPr>
            <w:tcW w:w="1054" w:type="pct"/>
            <w:gridSpan w:val="2"/>
            <w:vMerge w:val="restart"/>
            <w:noWrap/>
            <w:vAlign w:val="center"/>
          </w:tcPr>
          <w:p w14:paraId="657DF97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慈善组织为应对重大突发事件开展公开募捐，不及时分配、使用募得款物。</w:t>
            </w:r>
          </w:p>
        </w:tc>
        <w:tc>
          <w:tcPr>
            <w:tcW w:w="940" w:type="pct"/>
            <w:vMerge w:val="restart"/>
            <w:noWrap/>
            <w:vAlign w:val="center"/>
          </w:tcPr>
          <w:p w14:paraId="17FF5C4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《慈善法》第七十二条：为应对重大突发事件开展公开募捐的，应当及时分配或者使用募得款物，在应急处置与救援阶段至少每五日公开一次募得款物的接收情况，及时公开分配、使用情况。</w:t>
            </w:r>
          </w:p>
        </w:tc>
        <w:tc>
          <w:tcPr>
            <w:tcW w:w="929" w:type="pct"/>
            <w:vMerge w:val="restart"/>
            <w:noWrap/>
            <w:vAlign w:val="center"/>
          </w:tcPr>
          <w:p w14:paraId="0D19771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一条：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w:t>
            </w:r>
          </w:p>
          <w:p w14:paraId="6E8B188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60074B4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（六）为应对重大突发事件开展公开募捐，不及时分配、使用募得款物的。</w:t>
            </w:r>
          </w:p>
          <w:p w14:paraId="6D98022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58B6EEB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6AE76B7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慈善组织为应对重大突发事件开展公开募捐，不及时分配、使用募得款物情节较轻；社会不良影响较小或能主动消除（减轻）危害后果。</w:t>
            </w:r>
          </w:p>
        </w:tc>
        <w:tc>
          <w:tcPr>
            <w:tcW w:w="612" w:type="pct"/>
            <w:noWrap/>
            <w:vAlign w:val="center"/>
          </w:tcPr>
          <w:p w14:paraId="0D86A93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2CAAC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266" w:hRule="atLeast"/>
          <w:jc w:val="center"/>
        </w:trPr>
        <w:tc>
          <w:tcPr>
            <w:tcW w:w="197" w:type="pct"/>
            <w:vMerge w:val="continue"/>
            <w:noWrap/>
            <w:vAlign w:val="center"/>
          </w:tcPr>
          <w:p w14:paraId="6F1FAED0">
            <w:pPr>
              <w:adjustRightInd w:val="0"/>
              <w:snapToGrid w:val="0"/>
              <w:jc w:val="center"/>
              <w:rPr>
                <w:rFonts w:hAnsi="宋体" w:cs="宋体"/>
                <w:b/>
                <w:bCs/>
                <w:color w:val="000000" w:themeColor="text1"/>
                <w:kern w:val="0"/>
                <w:sz w:val="21"/>
                <w:szCs w:val="21"/>
                <w14:textFill>
                  <w14:solidFill>
                    <w14:schemeClr w14:val="tx1"/>
                  </w14:solidFill>
                </w14:textFill>
              </w:rPr>
            </w:pPr>
          </w:p>
        </w:tc>
        <w:tc>
          <w:tcPr>
            <w:tcW w:w="1054" w:type="pct"/>
            <w:gridSpan w:val="2"/>
            <w:vMerge w:val="continue"/>
            <w:noWrap/>
            <w:vAlign w:val="center"/>
          </w:tcPr>
          <w:p w14:paraId="27864864">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noWrap/>
            <w:vAlign w:val="center"/>
          </w:tcPr>
          <w:p w14:paraId="2C7A23BE">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noWrap/>
            <w:vAlign w:val="center"/>
          </w:tcPr>
          <w:p w14:paraId="23B9044A">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3847B87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73F2152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慈善组织为应对重大突发事件开展公开募捐，不及时分配、使用募得款物造成较大不良社会影响；具有其他情节较重情形。</w:t>
            </w:r>
          </w:p>
        </w:tc>
        <w:tc>
          <w:tcPr>
            <w:tcW w:w="612" w:type="pct"/>
            <w:noWrap/>
            <w:vAlign w:val="center"/>
          </w:tcPr>
          <w:p w14:paraId="47D2275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警告；对直接负责的主管人员和其他直接责任人员处五万元以上不超过十万元罚款；没收违法所得。</w:t>
            </w:r>
          </w:p>
        </w:tc>
      </w:tr>
      <w:tr w14:paraId="0A939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3" w:hRule="atLeast"/>
          <w:jc w:val="center"/>
        </w:trPr>
        <w:tc>
          <w:tcPr>
            <w:tcW w:w="197" w:type="pct"/>
            <w:vMerge w:val="continue"/>
            <w:noWrap/>
            <w:vAlign w:val="center"/>
          </w:tcPr>
          <w:p w14:paraId="76F8190E">
            <w:pPr>
              <w:adjustRightInd w:val="0"/>
              <w:snapToGrid w:val="0"/>
            </w:pPr>
          </w:p>
        </w:tc>
        <w:tc>
          <w:tcPr>
            <w:tcW w:w="1054" w:type="pct"/>
            <w:gridSpan w:val="2"/>
            <w:vMerge w:val="continue"/>
            <w:noWrap/>
            <w:vAlign w:val="center"/>
          </w:tcPr>
          <w:p w14:paraId="5BCCA5FF">
            <w:pPr>
              <w:adjustRightInd w:val="0"/>
              <w:snapToGrid w:val="0"/>
            </w:pPr>
          </w:p>
        </w:tc>
        <w:tc>
          <w:tcPr>
            <w:tcW w:w="940" w:type="pct"/>
            <w:vMerge w:val="continue"/>
            <w:noWrap/>
            <w:vAlign w:val="center"/>
          </w:tcPr>
          <w:p w14:paraId="7F96D615">
            <w:pPr>
              <w:adjustRightInd w:val="0"/>
              <w:snapToGrid w:val="0"/>
            </w:pPr>
          </w:p>
        </w:tc>
        <w:tc>
          <w:tcPr>
            <w:tcW w:w="929" w:type="pct"/>
            <w:vMerge w:val="continue"/>
            <w:noWrap/>
            <w:vAlign w:val="center"/>
          </w:tcPr>
          <w:p w14:paraId="6A6351A5">
            <w:pPr>
              <w:adjustRightInd w:val="0"/>
              <w:snapToGrid w:val="0"/>
            </w:pPr>
          </w:p>
        </w:tc>
        <w:tc>
          <w:tcPr>
            <w:tcW w:w="237" w:type="pct"/>
            <w:noWrap/>
            <w:vAlign w:val="center"/>
          </w:tcPr>
          <w:p w14:paraId="1B5253F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60071D9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慈善组织为应对重大突发事件开展公开募捐，不及时分配、使用募得款物造成严重不良社会影响；具有其他情节严重情形。</w:t>
            </w:r>
          </w:p>
          <w:p w14:paraId="3BBE99C6">
            <w:pPr>
              <w:adjustRightInd w:val="0"/>
              <w:snapToGrid w:val="0"/>
              <w:rPr>
                <w:rFonts w:hAnsi="宋体" w:cs="宋体"/>
                <w:color w:val="000000" w:themeColor="text1"/>
                <w:kern w:val="0"/>
                <w:sz w:val="21"/>
                <w:szCs w:val="21"/>
                <w14:textFill>
                  <w14:solidFill>
                    <w14:schemeClr w14:val="tx1"/>
                  </w14:solidFill>
                </w14:textFill>
              </w:rPr>
            </w:pPr>
          </w:p>
        </w:tc>
        <w:tc>
          <w:tcPr>
            <w:tcW w:w="612" w:type="pct"/>
            <w:noWrap/>
            <w:vAlign w:val="center"/>
          </w:tcPr>
          <w:p w14:paraId="14DE22D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吊销公开募捐资格证书或者登记证书并予以公告，；对直接负责的主管人员和其他直接责任人员处十万元以上二十万元以下罚款，禁止其一年至五年内担任慈善组织的管理人员；没收违法所得。</w:t>
            </w:r>
          </w:p>
        </w:tc>
      </w:tr>
      <w:tr w14:paraId="342CB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092" w:hRule="exact"/>
          <w:jc w:val="center"/>
        </w:trPr>
        <w:tc>
          <w:tcPr>
            <w:tcW w:w="197" w:type="pct"/>
            <w:noWrap/>
            <w:vAlign w:val="center"/>
          </w:tcPr>
          <w:p w14:paraId="2E536AC4">
            <w:pPr>
              <w:adjustRightInd w:val="0"/>
              <w:snapToGrid w:val="0"/>
              <w:jc w:val="center"/>
              <w:rPr>
                <w:rFonts w:hAnsi="宋体" w:cs="宋体"/>
                <w:b/>
                <w:bCs/>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67</w:t>
            </w:r>
          </w:p>
        </w:tc>
        <w:tc>
          <w:tcPr>
            <w:tcW w:w="1054" w:type="pct"/>
            <w:gridSpan w:val="2"/>
            <w:noWrap/>
            <w:vAlign w:val="center"/>
          </w:tcPr>
          <w:p w14:paraId="76FA802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慈善组织违反慈善法规定泄露国家秘密、商业秘密。</w:t>
            </w:r>
          </w:p>
        </w:tc>
        <w:tc>
          <w:tcPr>
            <w:tcW w:w="940" w:type="pct"/>
            <w:noWrap/>
            <w:vAlign w:val="center"/>
          </w:tcPr>
          <w:p w14:paraId="194D3F2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《慈善法》第八十二条：涉及国家秘密、商业秘密、个人隐私的信息以及捐赠人、慈善信托的委托人不同意公开的姓名、名称、住所、通讯方式等信息，不得公开。</w:t>
            </w:r>
          </w:p>
        </w:tc>
        <w:tc>
          <w:tcPr>
            <w:tcW w:w="929" w:type="pct"/>
            <w:noWrap/>
            <w:vAlign w:val="center"/>
          </w:tcPr>
          <w:p w14:paraId="2CF8157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《慈善法》第一百一十条第二款：慈善组织违反本法规定泄露国家秘密、商业秘密的，依照有关法律的规定予以处罚。</w:t>
            </w:r>
          </w:p>
          <w:p w14:paraId="3B4BEE4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慈善组织有前两款规定的情形，经依法处理后一年内再出现前款规定的情形，或者有其他情节严重情形的，由县级以上人民政府民政部门吊销登记证书并予以公告。</w:t>
            </w:r>
          </w:p>
          <w:p w14:paraId="43DA526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237" w:type="pct"/>
            <w:noWrap/>
            <w:vAlign w:val="center"/>
          </w:tcPr>
          <w:p w14:paraId="31612C0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56A52FC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违反《慈善法》规定泄露国家秘密、商业秘密的，有关机关依照有关法律的规定对其作出处罚，经依法处理后一年内再出现《慈善法》第一百一十条前两款规定的情形，或者有其他情节严重情形。</w:t>
            </w:r>
          </w:p>
        </w:tc>
        <w:tc>
          <w:tcPr>
            <w:tcW w:w="612" w:type="pct"/>
            <w:noWrap/>
            <w:vAlign w:val="center"/>
          </w:tcPr>
          <w:p w14:paraId="72D2F70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吊销登记证书；对直接负责的主管人员和其他直接责任人员处十万元以上二十万元以下罚款，禁止其一年至五年内担任慈善组织的管理人员；没收违法所得。</w:t>
            </w:r>
          </w:p>
        </w:tc>
      </w:tr>
      <w:tr w14:paraId="2D3BB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92" w:hRule="exact"/>
          <w:jc w:val="center"/>
        </w:trPr>
        <w:tc>
          <w:tcPr>
            <w:tcW w:w="197" w:type="pct"/>
            <w:vMerge w:val="restart"/>
            <w:noWrap/>
            <w:vAlign w:val="center"/>
          </w:tcPr>
          <w:p w14:paraId="3D64A74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68</w:t>
            </w:r>
          </w:p>
        </w:tc>
        <w:tc>
          <w:tcPr>
            <w:tcW w:w="1054" w:type="pct"/>
            <w:gridSpan w:val="2"/>
            <w:vMerge w:val="restart"/>
            <w:noWrap/>
            <w:vAlign w:val="center"/>
          </w:tcPr>
          <w:p w14:paraId="651713D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不具有公开募捐资格的组织或者个人擅自开展公开募捐。</w:t>
            </w:r>
          </w:p>
        </w:tc>
        <w:tc>
          <w:tcPr>
            <w:tcW w:w="940" w:type="pct"/>
            <w:vMerge w:val="restart"/>
            <w:noWrap/>
            <w:vAlign w:val="center"/>
          </w:tcPr>
          <w:p w14:paraId="5618650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《慈善法》第二十二条：慈善组织开展公开募捐，应当取得公开募捐资格。</w:t>
            </w:r>
          </w:p>
          <w:p w14:paraId="0C298B6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二十六条：不具有公开募捐资格的组织或者个人基于慈善目的，可以与具有公开募捐资格的慈善组织合作，由该慈善组织开展公开募捐，合作方不得以任何形式自行开展公开募捐。具有公开募捐资格的慈善组织应当对合作方进行评估，依法签订书面协议，在募捐方案中载明合作方的相关信息，并对合作方的相关行为进行指导和监督。</w:t>
            </w:r>
          </w:p>
        </w:tc>
        <w:tc>
          <w:tcPr>
            <w:tcW w:w="929" w:type="pct"/>
            <w:vMerge w:val="restart"/>
            <w:noWrap/>
            <w:vAlign w:val="center"/>
          </w:tcPr>
          <w:p w14:paraId="58F7196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三条：不具有公开募捐资格的组织或者个人擅自开展公开募捐的，由县级以上人民政府民政部门予以警告，责令停止募捐活动；责令退还违法募集的财产，无法退还的，由民政部门予以收缴，转给慈善组织用于慈善目的；情节严重的，对有关组织或者个人处二万元以上二十万元以下罚款。</w:t>
            </w:r>
          </w:p>
        </w:tc>
        <w:tc>
          <w:tcPr>
            <w:tcW w:w="237" w:type="pct"/>
            <w:noWrap/>
            <w:vAlign w:val="center"/>
          </w:tcPr>
          <w:p w14:paraId="2365302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3C83640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不具有公开募捐资格的组织或者个人擅自开展公开募捐活动，累计募集款物在10万元以下，社会不良影响较小或能主动消除（减轻）危害后果。</w:t>
            </w:r>
          </w:p>
        </w:tc>
        <w:tc>
          <w:tcPr>
            <w:tcW w:w="612" w:type="pct"/>
            <w:noWrap/>
            <w:vAlign w:val="center"/>
          </w:tcPr>
          <w:p w14:paraId="2D83C1C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6ECB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59" w:hRule="exact"/>
          <w:jc w:val="center"/>
        </w:trPr>
        <w:tc>
          <w:tcPr>
            <w:tcW w:w="197" w:type="pct"/>
            <w:vMerge w:val="continue"/>
            <w:noWrap/>
            <w:vAlign w:val="center"/>
          </w:tcPr>
          <w:p w14:paraId="6C75ECF6">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noWrap/>
            <w:vAlign w:val="center"/>
          </w:tcPr>
          <w:p w14:paraId="417C2B41">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noWrap/>
            <w:vAlign w:val="center"/>
          </w:tcPr>
          <w:p w14:paraId="7AE4B0B0">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noWrap/>
            <w:vAlign w:val="center"/>
          </w:tcPr>
          <w:p w14:paraId="59EFE937">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133714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214F066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不具有公开募捐资格的组织或者个人擅自开展公开募捐活动，累计募集款物在10万元以上50万元以下；造成较大不良社会影响；具有其他情节较重情形。</w:t>
            </w:r>
          </w:p>
        </w:tc>
        <w:tc>
          <w:tcPr>
            <w:tcW w:w="612" w:type="pct"/>
            <w:noWrap/>
            <w:vAlign w:val="center"/>
          </w:tcPr>
          <w:p w14:paraId="273E1C1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警告；对有关组织或者个人处二万元以上不超过五万元罚款。</w:t>
            </w:r>
          </w:p>
        </w:tc>
      </w:tr>
      <w:tr w14:paraId="01FE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719" w:hRule="exact"/>
          <w:jc w:val="center"/>
        </w:trPr>
        <w:tc>
          <w:tcPr>
            <w:tcW w:w="197" w:type="pct"/>
            <w:vMerge w:val="continue"/>
            <w:noWrap/>
            <w:vAlign w:val="center"/>
          </w:tcPr>
          <w:p w14:paraId="652BF092">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noWrap/>
            <w:vAlign w:val="center"/>
          </w:tcPr>
          <w:p w14:paraId="3A49ACCC">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noWrap/>
            <w:vAlign w:val="center"/>
          </w:tcPr>
          <w:p w14:paraId="536D7783">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noWrap/>
            <w:vAlign w:val="center"/>
          </w:tcPr>
          <w:p w14:paraId="256E8E72">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7F160F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5702E53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不具有公开募捐资格的组织或者个人擅自开展公开募捐活动，累计募集款物在50万元以上，造成严重不良社会影响；具有其他情节严重情形。</w:t>
            </w:r>
          </w:p>
        </w:tc>
        <w:tc>
          <w:tcPr>
            <w:tcW w:w="612" w:type="pct"/>
            <w:noWrap/>
            <w:vAlign w:val="center"/>
          </w:tcPr>
          <w:p w14:paraId="196B792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警告；对有关组织或者个人处五万元以上二十万元以下罚款。</w:t>
            </w:r>
          </w:p>
        </w:tc>
      </w:tr>
      <w:tr w14:paraId="4DEE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31" w:hRule="atLeast"/>
          <w:jc w:val="center"/>
        </w:trPr>
        <w:tc>
          <w:tcPr>
            <w:tcW w:w="197" w:type="pct"/>
            <w:vMerge w:val="restart"/>
            <w:noWrap/>
            <w:vAlign w:val="center"/>
          </w:tcPr>
          <w:p w14:paraId="411C6E4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69</w:t>
            </w:r>
          </w:p>
        </w:tc>
        <w:tc>
          <w:tcPr>
            <w:tcW w:w="1054" w:type="pct"/>
            <w:gridSpan w:val="2"/>
            <w:vMerge w:val="restart"/>
            <w:noWrap/>
            <w:vAlign w:val="center"/>
          </w:tcPr>
          <w:p w14:paraId="28C3F21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不依法向捐赠人开具捐赠票据（不向捐赠人开具由财政部门统一监（印）制的捐赠票据；开具的捐赠票据要素不全，未载明捐赠人、捐赠财产的种类及数量、慈善组织名称和经办人姓名、票据日期等关键信息）。</w:t>
            </w:r>
          </w:p>
        </w:tc>
        <w:tc>
          <w:tcPr>
            <w:tcW w:w="940" w:type="pct"/>
            <w:vMerge w:val="restart"/>
            <w:noWrap/>
            <w:vAlign w:val="center"/>
          </w:tcPr>
          <w:p w14:paraId="1D81D6B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三十八条：慈善组织接受捐赠，应当向捐赠人开具由财政部门统一监（印）制的捐赠票据。捐赠票据应当载明捐赠人、捐赠财产的种类及数量、慈善组织名称和经办人姓名、票据日期等。捐赠人匿名或者放弃接受捐赠票据的，慈善组织应当做好相关记录。</w:t>
            </w:r>
          </w:p>
        </w:tc>
        <w:tc>
          <w:tcPr>
            <w:tcW w:w="929" w:type="pct"/>
            <w:vMerge w:val="restart"/>
            <w:noWrap/>
            <w:vAlign w:val="center"/>
          </w:tcPr>
          <w:p w14:paraId="7079BEB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五条：慈善组织不依法向捐赠人开具捐赠票据、不依法向志愿者出具志愿服务记录证明或者不及时主动向捐赠人反馈有关情况的，由县级以上人民政府民政部门予以警告，责令限期改正；逾期不改正的，责令限期停止活动。</w:t>
            </w:r>
          </w:p>
        </w:tc>
        <w:tc>
          <w:tcPr>
            <w:tcW w:w="237" w:type="pct"/>
            <w:noWrap/>
            <w:vAlign w:val="center"/>
          </w:tcPr>
          <w:p w14:paraId="7FDB3B5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296755F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不依法向捐赠人开具捐赠票据。</w:t>
            </w:r>
          </w:p>
        </w:tc>
        <w:tc>
          <w:tcPr>
            <w:tcW w:w="612" w:type="pct"/>
            <w:noWrap/>
            <w:vAlign w:val="center"/>
          </w:tcPr>
          <w:p w14:paraId="51B2535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76B3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31" w:hRule="atLeast"/>
          <w:jc w:val="center"/>
        </w:trPr>
        <w:tc>
          <w:tcPr>
            <w:tcW w:w="197" w:type="pct"/>
            <w:vMerge w:val="continue"/>
            <w:noWrap/>
            <w:vAlign w:val="center"/>
          </w:tcPr>
          <w:p w14:paraId="12361B94">
            <w:pPr>
              <w:adjustRightInd w:val="0"/>
              <w:snapToGrid w:val="0"/>
            </w:pPr>
          </w:p>
        </w:tc>
        <w:tc>
          <w:tcPr>
            <w:tcW w:w="1054" w:type="pct"/>
            <w:gridSpan w:val="2"/>
            <w:vMerge w:val="continue"/>
            <w:noWrap/>
            <w:vAlign w:val="center"/>
          </w:tcPr>
          <w:p w14:paraId="63E666F0">
            <w:pPr>
              <w:adjustRightInd w:val="0"/>
              <w:snapToGrid w:val="0"/>
            </w:pPr>
          </w:p>
        </w:tc>
        <w:tc>
          <w:tcPr>
            <w:tcW w:w="940" w:type="pct"/>
            <w:vMerge w:val="continue"/>
            <w:noWrap/>
            <w:vAlign w:val="center"/>
          </w:tcPr>
          <w:p w14:paraId="2AED9EBB">
            <w:pPr>
              <w:adjustRightInd w:val="0"/>
              <w:snapToGrid w:val="0"/>
            </w:pPr>
          </w:p>
        </w:tc>
        <w:tc>
          <w:tcPr>
            <w:tcW w:w="929" w:type="pct"/>
            <w:vMerge w:val="continue"/>
            <w:noWrap/>
            <w:vAlign w:val="center"/>
          </w:tcPr>
          <w:p w14:paraId="59294CE8">
            <w:pPr>
              <w:adjustRightInd w:val="0"/>
              <w:snapToGrid w:val="0"/>
            </w:pPr>
          </w:p>
        </w:tc>
        <w:tc>
          <w:tcPr>
            <w:tcW w:w="237" w:type="pct"/>
            <w:shd w:val="clear" w:color="auto" w:fill="auto"/>
            <w:noWrap/>
            <w:vAlign w:val="center"/>
          </w:tcPr>
          <w:p w14:paraId="6CBE450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shd w:val="clear" w:color="auto" w:fill="auto"/>
            <w:noWrap/>
            <w:vAlign w:val="center"/>
          </w:tcPr>
          <w:p w14:paraId="045C746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不依法向捐赠人开具捐赠票据，受到警告的行政处罚并被责令限期改正，逾期未改正。</w:t>
            </w:r>
          </w:p>
        </w:tc>
        <w:tc>
          <w:tcPr>
            <w:tcW w:w="612" w:type="pct"/>
            <w:shd w:val="clear" w:color="auto" w:fill="auto"/>
            <w:noWrap/>
            <w:vAlign w:val="center"/>
          </w:tcPr>
          <w:p w14:paraId="1D389D1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w:t>
            </w:r>
          </w:p>
        </w:tc>
      </w:tr>
      <w:tr w14:paraId="0977D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41" w:hRule="atLeast"/>
          <w:jc w:val="center"/>
        </w:trPr>
        <w:tc>
          <w:tcPr>
            <w:tcW w:w="197" w:type="pct"/>
            <w:vMerge w:val="restart"/>
            <w:vAlign w:val="center"/>
          </w:tcPr>
          <w:p w14:paraId="267578A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70</w:t>
            </w:r>
          </w:p>
        </w:tc>
        <w:tc>
          <w:tcPr>
            <w:tcW w:w="1054" w:type="pct"/>
            <w:gridSpan w:val="2"/>
            <w:vMerge w:val="restart"/>
            <w:vAlign w:val="center"/>
          </w:tcPr>
          <w:p w14:paraId="479D0B8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慈善组织不依法向志愿者出具志愿服务记录证明（不如实出具志愿服务记录证明；有偿出具志愿服务记录证明；拒绝向志愿者出具志愿服务记录证明）。</w:t>
            </w:r>
          </w:p>
        </w:tc>
        <w:tc>
          <w:tcPr>
            <w:tcW w:w="940" w:type="pct"/>
            <w:vMerge w:val="restart"/>
            <w:vAlign w:val="center"/>
          </w:tcPr>
          <w:p w14:paraId="2D2B15C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《慈善法》第六十六条：慈善组织应当对志愿者实名登记，记录志愿者的服务时间、内容、评价等信息。根据志愿者的要求，慈善组织应当无偿、如实出具志愿服务记录证明。</w:t>
            </w:r>
          </w:p>
        </w:tc>
        <w:tc>
          <w:tcPr>
            <w:tcW w:w="929" w:type="pct"/>
            <w:vMerge w:val="restart"/>
            <w:vAlign w:val="center"/>
          </w:tcPr>
          <w:p w14:paraId="5AD3609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五条：慈善组织不依法向捐赠人开具捐赠票据、不依法向志愿者出具志愿服务记录证明或者不及时主动向捐赠人反馈有关情况的，由县级人民政府民政部门予以警告，责令限期改正；逾期不改正的，责令限期停止活动。</w:t>
            </w:r>
          </w:p>
        </w:tc>
        <w:tc>
          <w:tcPr>
            <w:tcW w:w="237" w:type="pct"/>
            <w:noWrap/>
            <w:vAlign w:val="center"/>
          </w:tcPr>
          <w:p w14:paraId="251E87E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1714C55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慈善组织不依法向</w:t>
            </w:r>
            <w:r>
              <w:rPr>
                <w:rFonts w:hAnsi="宋体" w:cs="宋体"/>
                <w:color w:val="000000" w:themeColor="text1"/>
                <w:kern w:val="0"/>
                <w:sz w:val="21"/>
                <w:szCs w:val="21"/>
                <w14:textFill>
                  <w14:solidFill>
                    <w14:schemeClr w14:val="tx1"/>
                  </w14:solidFill>
                </w14:textFill>
              </w:rPr>
              <w:t>志愿者</w:t>
            </w:r>
            <w:r>
              <w:rPr>
                <w:rFonts w:hint="eastAsia" w:hAnsi="宋体" w:cs="宋体"/>
                <w:color w:val="000000" w:themeColor="text1"/>
                <w:kern w:val="0"/>
                <w:sz w:val="21"/>
                <w:szCs w:val="21"/>
                <w14:textFill>
                  <w14:solidFill>
                    <w14:schemeClr w14:val="tx1"/>
                  </w14:solidFill>
                </w14:textFill>
              </w:rPr>
              <w:t>出具志愿服务记录证明。</w:t>
            </w:r>
          </w:p>
        </w:tc>
        <w:tc>
          <w:tcPr>
            <w:tcW w:w="612" w:type="pct"/>
            <w:noWrap/>
            <w:vAlign w:val="center"/>
          </w:tcPr>
          <w:p w14:paraId="337C605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53D45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41" w:hRule="atLeast"/>
          <w:jc w:val="center"/>
        </w:trPr>
        <w:tc>
          <w:tcPr>
            <w:tcW w:w="197" w:type="pct"/>
            <w:vMerge w:val="continue"/>
            <w:vAlign w:val="center"/>
          </w:tcPr>
          <w:p w14:paraId="290899C6">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20F010CD">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CA34DBD">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1230B15">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E2F8E1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679A5B4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慈善组织不依法向</w:t>
            </w:r>
            <w:r>
              <w:rPr>
                <w:rFonts w:hAnsi="宋体" w:cs="宋体"/>
                <w:color w:val="000000" w:themeColor="text1"/>
                <w:kern w:val="0"/>
                <w:sz w:val="21"/>
                <w:szCs w:val="21"/>
                <w14:textFill>
                  <w14:solidFill>
                    <w14:schemeClr w14:val="tx1"/>
                  </w14:solidFill>
                </w14:textFill>
              </w:rPr>
              <w:t>志愿者</w:t>
            </w:r>
            <w:r>
              <w:rPr>
                <w:rFonts w:hint="eastAsia" w:hAnsi="宋体" w:cs="宋体"/>
                <w:color w:val="000000" w:themeColor="text1"/>
                <w:kern w:val="0"/>
                <w:sz w:val="21"/>
                <w:szCs w:val="21"/>
                <w14:textFill>
                  <w14:solidFill>
                    <w14:schemeClr w14:val="tx1"/>
                  </w14:solidFill>
                </w14:textFill>
              </w:rPr>
              <w:t>出具志愿服务记录证明，受到警告的行政处罚并被责令限期改正，逾期未改正。</w:t>
            </w:r>
          </w:p>
        </w:tc>
        <w:tc>
          <w:tcPr>
            <w:tcW w:w="612" w:type="pct"/>
            <w:noWrap/>
            <w:vAlign w:val="center"/>
          </w:tcPr>
          <w:p w14:paraId="0A0EB0E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w:t>
            </w:r>
          </w:p>
        </w:tc>
      </w:tr>
      <w:tr w14:paraId="7D30F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41" w:hRule="atLeast"/>
          <w:jc w:val="center"/>
        </w:trPr>
        <w:tc>
          <w:tcPr>
            <w:tcW w:w="197" w:type="pct"/>
            <w:vMerge w:val="restart"/>
            <w:noWrap/>
            <w:vAlign w:val="center"/>
          </w:tcPr>
          <w:p w14:paraId="0C613B3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71</w:t>
            </w:r>
          </w:p>
        </w:tc>
        <w:tc>
          <w:tcPr>
            <w:tcW w:w="1054" w:type="pct"/>
            <w:gridSpan w:val="2"/>
            <w:vMerge w:val="restart"/>
            <w:noWrap/>
            <w:vAlign w:val="center"/>
          </w:tcPr>
          <w:p w14:paraId="3F80033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慈善组织不及时主动向捐赠人反馈有关情况。</w:t>
            </w:r>
          </w:p>
        </w:tc>
        <w:tc>
          <w:tcPr>
            <w:tcW w:w="940" w:type="pct"/>
            <w:vMerge w:val="restart"/>
            <w:noWrap/>
            <w:vAlign w:val="center"/>
          </w:tcPr>
          <w:p w14:paraId="6385371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《慈善法》第四十二条：捐赠人有权查询、复制其捐赠财产管理使用的有关资料，慈善组织应当及时主动向捐赠人反馈有关情况。</w:t>
            </w:r>
          </w:p>
          <w:p w14:paraId="46E2739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第八十条：慈善组织开展定向募捐的，应当及时向捐赠人告知募捐情况、募得款物的管理使用情况。</w:t>
            </w:r>
          </w:p>
        </w:tc>
        <w:tc>
          <w:tcPr>
            <w:tcW w:w="929" w:type="pct"/>
            <w:vMerge w:val="restart"/>
            <w:noWrap/>
            <w:vAlign w:val="center"/>
          </w:tcPr>
          <w:p w14:paraId="4C403E4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五条：慈善组织不依法向捐赠人开具捐赠票据、不依法向志愿者出具志愿服务记录证明或者不及时主动向捐赠人反馈有关情况的，由县级以上人民政府民政部门予以警告，责令限期改正；逾期不改正的，责令限期停止活动。</w:t>
            </w:r>
          </w:p>
        </w:tc>
        <w:tc>
          <w:tcPr>
            <w:tcW w:w="237" w:type="pct"/>
            <w:noWrap/>
            <w:vAlign w:val="center"/>
          </w:tcPr>
          <w:p w14:paraId="07C8615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7C9542B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慈善组织不及时主动或拒绝向捐赠人反馈有关情况。</w:t>
            </w:r>
          </w:p>
        </w:tc>
        <w:tc>
          <w:tcPr>
            <w:tcW w:w="612" w:type="pct"/>
            <w:noWrap/>
            <w:vAlign w:val="center"/>
          </w:tcPr>
          <w:p w14:paraId="0B440FA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3D66D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41" w:hRule="atLeast"/>
          <w:jc w:val="center"/>
        </w:trPr>
        <w:tc>
          <w:tcPr>
            <w:tcW w:w="197" w:type="pct"/>
            <w:vMerge w:val="continue"/>
            <w:vAlign w:val="center"/>
          </w:tcPr>
          <w:p w14:paraId="55D19B07">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BFD5F0C">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4DAFD254">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B0504DC">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6F8D77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614567B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慈善组织不及时主动向捐赠人反馈有关情况，受到警告的行政处罚并被责令限期改正，逾期未改正。</w:t>
            </w:r>
          </w:p>
        </w:tc>
        <w:tc>
          <w:tcPr>
            <w:tcW w:w="612" w:type="pct"/>
            <w:noWrap/>
            <w:vAlign w:val="center"/>
          </w:tcPr>
          <w:p w14:paraId="5A96129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w:t>
            </w:r>
          </w:p>
        </w:tc>
      </w:tr>
      <w:tr w14:paraId="1A2A1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197" w:type="pct"/>
            <w:noWrap/>
            <w:vAlign w:val="center"/>
          </w:tcPr>
          <w:p w14:paraId="10E9A2A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72</w:t>
            </w:r>
          </w:p>
        </w:tc>
        <w:tc>
          <w:tcPr>
            <w:tcW w:w="1054" w:type="pct"/>
            <w:gridSpan w:val="2"/>
            <w:noWrap/>
            <w:vAlign w:val="center"/>
          </w:tcPr>
          <w:p w14:paraId="43E08D6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慈善组织弄虚作假骗取税收优惠。</w:t>
            </w:r>
          </w:p>
        </w:tc>
        <w:tc>
          <w:tcPr>
            <w:tcW w:w="940" w:type="pct"/>
            <w:noWrap/>
            <w:vAlign w:val="center"/>
          </w:tcPr>
          <w:p w14:paraId="03F65B3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《慈善法》第八十六条：慈善组织及其取得的收入依法享受税收优惠。</w:t>
            </w:r>
          </w:p>
        </w:tc>
        <w:tc>
          <w:tcPr>
            <w:tcW w:w="929" w:type="pct"/>
            <w:noWrap/>
            <w:vAlign w:val="center"/>
          </w:tcPr>
          <w:p w14:paraId="0EA01E5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《慈善法》第一百一十六条：慈善组织弄虚作假骗取税收优惠的，由税务机关依法查处；情节严重的，由县级以上人民政府民政部门吊销登记证书并予以公告。</w:t>
            </w:r>
          </w:p>
        </w:tc>
        <w:tc>
          <w:tcPr>
            <w:tcW w:w="237" w:type="pct"/>
            <w:noWrap/>
            <w:vAlign w:val="center"/>
          </w:tcPr>
          <w:p w14:paraId="0511659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1E13D2E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慈善组织弄虚作假骗取税收优惠，税务机关依法查处且情节严重。</w:t>
            </w:r>
          </w:p>
        </w:tc>
        <w:tc>
          <w:tcPr>
            <w:tcW w:w="612" w:type="pct"/>
            <w:noWrap/>
            <w:vAlign w:val="center"/>
          </w:tcPr>
          <w:p w14:paraId="37514DE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w:t>
            </w:r>
          </w:p>
        </w:tc>
      </w:tr>
      <w:tr w14:paraId="7AFB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197" w:type="pct"/>
            <w:noWrap/>
            <w:vAlign w:val="center"/>
          </w:tcPr>
          <w:p w14:paraId="5BA27BF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73</w:t>
            </w:r>
          </w:p>
        </w:tc>
        <w:tc>
          <w:tcPr>
            <w:tcW w:w="1054" w:type="pct"/>
            <w:gridSpan w:val="2"/>
            <w:noWrap/>
            <w:vAlign w:val="center"/>
          </w:tcPr>
          <w:p w14:paraId="20739BB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慈善组织从事、资助危害国家安全或者社会公共利益活动。</w:t>
            </w:r>
          </w:p>
        </w:tc>
        <w:tc>
          <w:tcPr>
            <w:tcW w:w="940" w:type="pct"/>
            <w:noWrap/>
            <w:vAlign w:val="center"/>
          </w:tcPr>
          <w:p w14:paraId="20B3728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《慈善法》第十五条：慈善组织不得从事、资助危害国家安全和社会公共利益的活动，不得接受附加违反法律法规和违背社会公德条件的捐赠，不得对受益人附加违反法律法规和违背社会公德的条件。</w:t>
            </w:r>
          </w:p>
        </w:tc>
        <w:tc>
          <w:tcPr>
            <w:tcW w:w="929" w:type="pct"/>
            <w:noWrap/>
            <w:vAlign w:val="center"/>
          </w:tcPr>
          <w:p w14:paraId="2808475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《慈善法》第一百一十七条：慈善组织从事、资助危害国家安全或者社会公共利益活动的，由有关机关依法查处，由县级以上人民政府民政部门吊销登记证书并予以公告。</w:t>
            </w:r>
          </w:p>
        </w:tc>
        <w:tc>
          <w:tcPr>
            <w:tcW w:w="237" w:type="pct"/>
            <w:noWrap/>
            <w:vAlign w:val="center"/>
          </w:tcPr>
          <w:p w14:paraId="02513BB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7F7B917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慈善组织从事、资助危害国家安全或者社会公共利益活动，有关机关依法查处。</w:t>
            </w:r>
          </w:p>
        </w:tc>
        <w:tc>
          <w:tcPr>
            <w:tcW w:w="612" w:type="pct"/>
            <w:noWrap/>
            <w:vAlign w:val="center"/>
          </w:tcPr>
          <w:p w14:paraId="19C4187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吊销登记证书。</w:t>
            </w:r>
          </w:p>
        </w:tc>
      </w:tr>
      <w:tr w14:paraId="79B37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197" w:type="pct"/>
            <w:shd w:val="clear" w:color="auto" w:fill="auto"/>
            <w:noWrap/>
            <w:vAlign w:val="center"/>
          </w:tcPr>
          <w:p w14:paraId="746BF20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74</w:t>
            </w:r>
          </w:p>
        </w:tc>
        <w:tc>
          <w:tcPr>
            <w:tcW w:w="1054" w:type="pct"/>
            <w:gridSpan w:val="2"/>
            <w:shd w:val="clear" w:color="auto" w:fill="auto"/>
            <w:noWrap/>
            <w:vAlign w:val="center"/>
          </w:tcPr>
          <w:p w14:paraId="68B179A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慈善组织伪造、变造、出租、出借公开募捐资格证书。</w:t>
            </w:r>
          </w:p>
        </w:tc>
        <w:tc>
          <w:tcPr>
            <w:tcW w:w="940" w:type="pct"/>
            <w:shd w:val="clear" w:color="auto" w:fill="auto"/>
            <w:noWrap/>
            <w:vAlign w:val="center"/>
          </w:tcPr>
          <w:p w14:paraId="106A272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《慈善组织公开募捐管理办法》第八条：慈善组织不得伪造、变造、出租、出借公开募捐资格证书。</w:t>
            </w:r>
          </w:p>
          <w:p w14:paraId="3E1CDEB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929" w:type="pct"/>
            <w:shd w:val="clear" w:color="auto" w:fill="auto"/>
            <w:noWrap/>
            <w:vAlign w:val="center"/>
          </w:tcPr>
          <w:p w14:paraId="42CC967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《慈善组织公开募捐管理办法》第二十四条：慈善组织有下列情形之一的，办理其登记的民政部门可以予以警告、责令限期改正：</w:t>
            </w:r>
          </w:p>
          <w:p w14:paraId="6FCB0854">
            <w:pPr>
              <w:numPr>
                <w:ilvl w:val="0"/>
                <w:numId w:val="1"/>
              </w:num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伪造、变造、出租、出借公开募捐资格证书的；</w:t>
            </w:r>
          </w:p>
          <w:p w14:paraId="426DAE8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shd w:val="clear" w:color="auto" w:fill="auto"/>
            <w:noWrap/>
            <w:vAlign w:val="center"/>
          </w:tcPr>
          <w:p w14:paraId="18D8F3F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shd w:val="clear" w:color="auto" w:fill="auto"/>
            <w:noWrap/>
            <w:vAlign w:val="center"/>
          </w:tcPr>
          <w:p w14:paraId="4D7B0B6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伪造、变造、出租、出借公开募捐资格证书。</w:t>
            </w:r>
          </w:p>
        </w:tc>
        <w:tc>
          <w:tcPr>
            <w:tcW w:w="612" w:type="pct"/>
            <w:shd w:val="clear" w:color="auto" w:fill="auto"/>
            <w:noWrap/>
            <w:vAlign w:val="center"/>
          </w:tcPr>
          <w:p w14:paraId="3DC72AA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6046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197" w:type="pct"/>
            <w:shd w:val="clear" w:color="auto" w:fill="auto"/>
            <w:noWrap/>
            <w:vAlign w:val="center"/>
          </w:tcPr>
          <w:p w14:paraId="4F52D48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75</w:t>
            </w:r>
          </w:p>
        </w:tc>
        <w:tc>
          <w:tcPr>
            <w:tcW w:w="1054" w:type="pct"/>
            <w:gridSpan w:val="2"/>
            <w:shd w:val="clear" w:color="auto" w:fill="auto"/>
            <w:noWrap/>
            <w:vAlign w:val="center"/>
          </w:tcPr>
          <w:p w14:paraId="2D5A1C5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慈善组织未按照募捐方案确定的时间，超出募捐方案确定的期限、地域范围、方式进行募捐。</w:t>
            </w:r>
          </w:p>
        </w:tc>
        <w:tc>
          <w:tcPr>
            <w:tcW w:w="940" w:type="pct"/>
            <w:shd w:val="clear" w:color="auto" w:fill="auto"/>
            <w:noWrap/>
            <w:vAlign w:val="center"/>
          </w:tcPr>
          <w:p w14:paraId="75066F2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公开募捐管理办法》第十条：开展公开募捐活动，应当依法制定募捐方案。募捐方案包括募捐目的、起止时间和地域、活动负责人姓名和办公地址、接受捐赠方式、银行账户、预期募集款物数额、受益人、募得款物用途、募捐成本、剩余财产的处理等。合作开展公开募捐活动的，募捐方案应当载明合作方的相关信息。</w:t>
            </w:r>
          </w:p>
          <w:p w14:paraId="1DCAACA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929" w:type="pct"/>
            <w:shd w:val="clear" w:color="auto" w:fill="auto"/>
            <w:noWrap/>
            <w:vAlign w:val="center"/>
          </w:tcPr>
          <w:p w14:paraId="3E47B34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《慈善组织公开募捐管理办法》第二十四条：慈善组织有下列情形之一的，办理其登记的民政部门可以予以警告、责令限期改正：</w:t>
            </w:r>
            <w:r>
              <w:rPr>
                <w:rFonts w:hint="eastAsia" w:hAnsi="宋体" w:cs="宋体"/>
                <w:color w:val="000000" w:themeColor="text1"/>
                <w:kern w:val="0"/>
                <w:sz w:val="21"/>
                <w:szCs w:val="21"/>
                <w14:textFill>
                  <w14:solidFill>
                    <w14:schemeClr w14:val="tx1"/>
                  </w14:solidFill>
                </w14:textFill>
              </w:rPr>
              <w:br w:type="textWrapping"/>
            </w:r>
            <w:r>
              <w:rPr>
                <w:rFonts w:hint="eastAsia" w:hAnsi="宋体" w:cs="宋体"/>
                <w:color w:val="000000" w:themeColor="text1"/>
                <w:kern w:val="0"/>
                <w:sz w:val="21"/>
                <w:szCs w:val="21"/>
                <w14:textFill>
                  <w14:solidFill>
                    <w14:schemeClr w14:val="tx1"/>
                  </w14:solidFill>
                </w14:textFill>
              </w:rPr>
              <w:t>……</w:t>
            </w:r>
          </w:p>
          <w:p w14:paraId="365C2F30">
            <w:pPr>
              <w:numPr>
                <w:ilvl w:val="0"/>
                <w:numId w:val="1"/>
              </w:num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未按照募捐方案确定的时间，超出募捐方案确定的期限、地域范围、方式进行募捐的；</w:t>
            </w:r>
          </w:p>
          <w:p w14:paraId="1B524DC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shd w:val="clear" w:color="auto" w:fill="auto"/>
            <w:noWrap/>
            <w:vAlign w:val="center"/>
          </w:tcPr>
          <w:p w14:paraId="59F1EF7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shd w:val="clear" w:color="auto" w:fill="auto"/>
            <w:noWrap/>
            <w:vAlign w:val="center"/>
          </w:tcPr>
          <w:p w14:paraId="54D9D1A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未按照募捐方案确定的时间，超出募捐方案确定的期限、地域范围、方式进行募捐。</w:t>
            </w:r>
          </w:p>
        </w:tc>
        <w:tc>
          <w:tcPr>
            <w:tcW w:w="612" w:type="pct"/>
            <w:shd w:val="clear" w:color="auto" w:fill="auto"/>
            <w:noWrap/>
            <w:vAlign w:val="center"/>
          </w:tcPr>
          <w:p w14:paraId="63691AF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46D71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197" w:type="pct"/>
            <w:shd w:val="clear" w:color="auto" w:fill="auto"/>
            <w:noWrap/>
            <w:vAlign w:val="center"/>
          </w:tcPr>
          <w:p w14:paraId="19DF435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76</w:t>
            </w:r>
          </w:p>
        </w:tc>
        <w:tc>
          <w:tcPr>
            <w:tcW w:w="1054" w:type="pct"/>
            <w:gridSpan w:val="2"/>
            <w:shd w:val="clear" w:color="auto" w:fill="auto"/>
            <w:noWrap/>
            <w:vAlign w:val="center"/>
          </w:tcPr>
          <w:p w14:paraId="5C95608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慈善组织开展公开募捐未在募捐活动现场或者募捐活动载体的显著位置公布募捐活动信息。</w:t>
            </w:r>
          </w:p>
        </w:tc>
        <w:tc>
          <w:tcPr>
            <w:tcW w:w="940" w:type="pct"/>
            <w:shd w:val="clear" w:color="auto" w:fill="auto"/>
            <w:noWrap/>
            <w:vAlign w:val="center"/>
          </w:tcPr>
          <w:p w14:paraId="482CB70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《慈善组织公开募捐管理办法》第十六条：慈善组织开展公开募捐活动，应当在募捐活动现场或者募捐活动载体的显著位置，公布本组织名称、公开募捐资格证书、募捐方案、联系方式、募捐信息查询方法等。</w:t>
            </w:r>
          </w:p>
        </w:tc>
        <w:tc>
          <w:tcPr>
            <w:tcW w:w="929" w:type="pct"/>
            <w:shd w:val="clear" w:color="auto" w:fill="auto"/>
            <w:noWrap/>
            <w:vAlign w:val="center"/>
          </w:tcPr>
          <w:p w14:paraId="2311C88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《慈善组织公开募捐管理办法》第二十四条：慈善组织有下列情形之一的，办理其登记的民政部门可以予以警告、责令限期改正：</w:t>
            </w:r>
            <w:r>
              <w:rPr>
                <w:rFonts w:hint="eastAsia" w:hAnsi="宋体" w:cs="宋体"/>
                <w:color w:val="000000" w:themeColor="text1"/>
                <w:kern w:val="0"/>
                <w:sz w:val="21"/>
                <w:szCs w:val="21"/>
                <w14:textFill>
                  <w14:solidFill>
                    <w14:schemeClr w14:val="tx1"/>
                  </w14:solidFill>
                </w14:textFill>
              </w:rPr>
              <w:br w:type="textWrapping"/>
            </w:r>
            <w:r>
              <w:rPr>
                <w:rFonts w:hint="eastAsia" w:hAnsi="宋体" w:cs="宋体"/>
                <w:color w:val="000000" w:themeColor="text1"/>
                <w:kern w:val="0"/>
                <w:sz w:val="21"/>
                <w:szCs w:val="21"/>
                <w14:textFill>
                  <w14:solidFill>
                    <w14:schemeClr w14:val="tx1"/>
                  </w14:solidFill>
                </w14:textFill>
              </w:rPr>
              <w:t>……</w:t>
            </w:r>
          </w:p>
          <w:p w14:paraId="68C7E01A">
            <w:pPr>
              <w:numPr>
                <w:ilvl w:val="0"/>
                <w:numId w:val="1"/>
              </w:num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开展公开募捐未在募捐活动现场或者募捐活动载体的显著位置公布募捐活动信息的；</w:t>
            </w:r>
          </w:p>
          <w:p w14:paraId="66D514C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shd w:val="clear" w:color="auto" w:fill="auto"/>
            <w:noWrap/>
            <w:vAlign w:val="center"/>
          </w:tcPr>
          <w:p w14:paraId="773F083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shd w:val="clear" w:color="auto" w:fill="auto"/>
            <w:noWrap/>
            <w:vAlign w:val="center"/>
          </w:tcPr>
          <w:p w14:paraId="6182801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开展公开募捐未在募捐活动现场或者募捐活动载体的显著位置公布募捐活动信息，包括慈善组织名称、公开募捐资格证书、募捐方案、联系方式、募捐信息查询方法等。</w:t>
            </w:r>
          </w:p>
        </w:tc>
        <w:tc>
          <w:tcPr>
            <w:tcW w:w="612" w:type="pct"/>
            <w:shd w:val="clear" w:color="auto" w:fill="auto"/>
            <w:noWrap/>
            <w:vAlign w:val="center"/>
          </w:tcPr>
          <w:p w14:paraId="6E6324A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03FAD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197" w:type="pct"/>
            <w:shd w:val="clear" w:color="auto" w:fill="auto"/>
            <w:noWrap/>
            <w:vAlign w:val="center"/>
          </w:tcPr>
          <w:p w14:paraId="554B867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77</w:t>
            </w:r>
          </w:p>
        </w:tc>
        <w:tc>
          <w:tcPr>
            <w:tcW w:w="1054" w:type="pct"/>
            <w:gridSpan w:val="2"/>
            <w:shd w:val="clear" w:color="auto" w:fill="auto"/>
            <w:noWrap/>
            <w:vAlign w:val="center"/>
          </w:tcPr>
          <w:p w14:paraId="4422AC6C">
            <w:pPr>
              <w:adjustRightInd w:val="0"/>
              <w:snapToGrid w:val="0"/>
              <w:rPr>
                <w:rFonts w:hint="eastAsia" w:hAnsi="宋体" w:eastAsia="宋体" w:cs="宋体"/>
                <w:color w:val="000000" w:themeColor="text1"/>
                <w:kern w:val="0"/>
                <w:sz w:val="21"/>
                <w:szCs w:val="21"/>
                <w:lang w:eastAsia="zh-CN"/>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慈善组织违反《慈善组织保值增值投资活动管理暂行办法》的违法行为</w:t>
            </w:r>
            <w:r>
              <w:rPr>
                <w:rFonts w:hint="eastAsia" w:hAnsi="宋体" w:cs="宋体"/>
                <w:color w:val="000000" w:themeColor="text1"/>
                <w:kern w:val="0"/>
                <w:sz w:val="21"/>
                <w:szCs w:val="21"/>
                <w:lang w:eastAsia="zh-CN"/>
                <w14:textFill>
                  <w14:solidFill>
                    <w14:schemeClr w14:val="tx1"/>
                  </w14:solidFill>
                </w14:textFill>
              </w:rPr>
              <w:t>。</w:t>
            </w:r>
          </w:p>
        </w:tc>
        <w:tc>
          <w:tcPr>
            <w:tcW w:w="940" w:type="pct"/>
            <w:shd w:val="clear" w:color="auto" w:fill="auto"/>
            <w:noWrap/>
            <w:vAlign w:val="center"/>
          </w:tcPr>
          <w:p w14:paraId="2777D09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《慈善组织保值增值投资活动管理暂行办法》第四条、第六条、第七条、第八条、第九条、第十条、第十一条、第十二条、第十三条、第十四条、第十五条有关规定。</w:t>
            </w:r>
          </w:p>
        </w:tc>
        <w:tc>
          <w:tcPr>
            <w:tcW w:w="929" w:type="pct"/>
            <w:shd w:val="clear" w:color="auto" w:fill="auto"/>
            <w:noWrap/>
            <w:vAlign w:val="center"/>
          </w:tcPr>
          <w:p w14:paraId="144F904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保值增值投资活动管理暂行办法》第十七条：慈善组织将不得用于投资的财产用于投资，民政部门依据《慈善法》第九十九条的有关规定进行处罚。慈善组织违反本办法规定，民政部门可以给予警告，并责令限期改正。</w:t>
            </w:r>
          </w:p>
        </w:tc>
        <w:tc>
          <w:tcPr>
            <w:tcW w:w="237" w:type="pct"/>
            <w:shd w:val="clear" w:color="auto" w:fill="auto"/>
            <w:noWrap/>
            <w:vAlign w:val="center"/>
          </w:tcPr>
          <w:p w14:paraId="293CE9E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shd w:val="clear" w:color="auto" w:fill="auto"/>
            <w:noWrap/>
            <w:vAlign w:val="center"/>
          </w:tcPr>
          <w:p w14:paraId="46915A9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违反《慈善组织保值增值投资活动管理暂行办法》第四条、第六条、第七条、第八条、第九条、第十条、第十一条、第十二条、第十三条、第十四条、第十五条等规定的违法行为。</w:t>
            </w:r>
          </w:p>
        </w:tc>
        <w:tc>
          <w:tcPr>
            <w:tcW w:w="612" w:type="pct"/>
            <w:shd w:val="clear" w:color="auto" w:fill="auto"/>
            <w:noWrap/>
            <w:vAlign w:val="center"/>
          </w:tcPr>
          <w:p w14:paraId="6C03680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69110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41" w:hRule="atLeast"/>
          <w:jc w:val="center"/>
        </w:trPr>
        <w:tc>
          <w:tcPr>
            <w:tcW w:w="197" w:type="pct"/>
            <w:vMerge w:val="restart"/>
            <w:noWrap/>
            <w:vAlign w:val="center"/>
          </w:tcPr>
          <w:p w14:paraId="62A7D31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78</w:t>
            </w:r>
          </w:p>
        </w:tc>
        <w:tc>
          <w:tcPr>
            <w:tcW w:w="1054" w:type="pct"/>
            <w:gridSpan w:val="2"/>
            <w:vMerge w:val="restart"/>
            <w:noWrap/>
            <w:vAlign w:val="center"/>
          </w:tcPr>
          <w:p w14:paraId="2C1AA4C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慈善组织未将专项基金纳入慈善组织账户。</w:t>
            </w:r>
          </w:p>
        </w:tc>
        <w:tc>
          <w:tcPr>
            <w:tcW w:w="940" w:type="pct"/>
            <w:vMerge w:val="restart"/>
            <w:noWrap/>
            <w:vAlign w:val="center"/>
          </w:tcPr>
          <w:p w14:paraId="1CA7D3C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《山东省慈善条例》第三十四条第二项：专项基金收支应当纳入慈善组织账户，不得开设独立账户和刻制印章。</w:t>
            </w:r>
          </w:p>
        </w:tc>
        <w:tc>
          <w:tcPr>
            <w:tcW w:w="929" w:type="pct"/>
            <w:vMerge w:val="restart"/>
            <w:noWrap/>
            <w:vAlign w:val="center"/>
          </w:tcPr>
          <w:p w14:paraId="5F4396D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《山东省慈善条例》第六十八条：违反本条例规定，慈善组织有下列情形之一的，由县级以上人民政府民政部门责令限期改正，予以警告；逾期不改正的，责令限期停止活动：</w:t>
            </w:r>
          </w:p>
          <w:p w14:paraId="3A2358F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38A63A0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（二）未将专项基金纳入慈善组织账户的；</w:t>
            </w:r>
          </w:p>
          <w:p w14:paraId="4BB8A4C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6F201A8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1DD0A3F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未将专项基金纳入慈善组织账户。</w:t>
            </w:r>
          </w:p>
        </w:tc>
        <w:tc>
          <w:tcPr>
            <w:tcW w:w="612" w:type="pct"/>
            <w:noWrap/>
            <w:vAlign w:val="center"/>
          </w:tcPr>
          <w:p w14:paraId="649B0DF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7C089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41" w:hRule="atLeast"/>
          <w:jc w:val="center"/>
        </w:trPr>
        <w:tc>
          <w:tcPr>
            <w:tcW w:w="197" w:type="pct"/>
            <w:vMerge w:val="continue"/>
            <w:vAlign w:val="center"/>
          </w:tcPr>
          <w:p w14:paraId="16EA2494">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27324D45">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50F95F7E">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C47CBA2">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6DA149D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5FE1FD0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未将专项基金纳入慈善组织账户，受到警告的行政处罚并被责令限期改正，逾期未改正；或者有其他情节严重的情形。</w:t>
            </w:r>
          </w:p>
        </w:tc>
        <w:tc>
          <w:tcPr>
            <w:tcW w:w="612" w:type="pct"/>
            <w:noWrap/>
            <w:vAlign w:val="center"/>
          </w:tcPr>
          <w:p w14:paraId="158AA69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w:t>
            </w:r>
          </w:p>
        </w:tc>
      </w:tr>
      <w:tr w14:paraId="3B466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41" w:hRule="atLeast"/>
          <w:jc w:val="center"/>
        </w:trPr>
        <w:tc>
          <w:tcPr>
            <w:tcW w:w="197" w:type="pct"/>
            <w:vMerge w:val="restart"/>
            <w:vAlign w:val="center"/>
          </w:tcPr>
          <w:p w14:paraId="2FE62BA2">
            <w:pPr>
              <w:adjustRightInd w:val="0"/>
              <w:snapToGrid w:val="0"/>
              <w:jc w:val="center"/>
              <w:rPr>
                <w:rFonts w:hAnsi="宋体" w:cs="宋体"/>
                <w:bCs/>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79</w:t>
            </w:r>
          </w:p>
        </w:tc>
        <w:tc>
          <w:tcPr>
            <w:tcW w:w="1054" w:type="pct"/>
            <w:gridSpan w:val="2"/>
            <w:vMerge w:val="restart"/>
            <w:vAlign w:val="center"/>
          </w:tcPr>
          <w:p w14:paraId="078D8D5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慈善组织将专项基金开设独立账户、刻制印章。</w:t>
            </w:r>
          </w:p>
        </w:tc>
        <w:tc>
          <w:tcPr>
            <w:tcW w:w="940" w:type="pct"/>
            <w:vMerge w:val="restart"/>
            <w:vAlign w:val="center"/>
          </w:tcPr>
          <w:p w14:paraId="7B59ABC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《山东省慈善条例》第三十四条第二项：专项基金收支应当纳入慈善组织账户，不得开设独立账户和刻制印章。</w:t>
            </w:r>
          </w:p>
        </w:tc>
        <w:tc>
          <w:tcPr>
            <w:tcW w:w="929" w:type="pct"/>
            <w:vMerge w:val="restart"/>
            <w:vAlign w:val="center"/>
          </w:tcPr>
          <w:p w14:paraId="1651383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《山东省慈善条例》第六十八条：违反本条例规定，慈善组织有下列情形之一的，由县级以上人民政府民政部门责令限期改正，予以警告；逾期不改正的，责令限期停止活动：</w:t>
            </w:r>
          </w:p>
          <w:p w14:paraId="1578756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073C22A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（三）将专项基金开设独立账户、刻制印章的；</w:t>
            </w:r>
          </w:p>
          <w:p w14:paraId="3D52977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5005AEF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39980C9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将专项基金开设独立账户、刻制印章。</w:t>
            </w:r>
          </w:p>
        </w:tc>
        <w:tc>
          <w:tcPr>
            <w:tcW w:w="612" w:type="pct"/>
            <w:noWrap/>
            <w:vAlign w:val="center"/>
          </w:tcPr>
          <w:p w14:paraId="3F3D767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540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41" w:hRule="atLeast"/>
          <w:jc w:val="center"/>
        </w:trPr>
        <w:tc>
          <w:tcPr>
            <w:tcW w:w="197" w:type="pct"/>
            <w:vMerge w:val="continue"/>
            <w:vAlign w:val="center"/>
          </w:tcPr>
          <w:p w14:paraId="4C05CA07">
            <w:pPr>
              <w:adjustRightInd w:val="0"/>
              <w:snapToGrid w:val="0"/>
              <w:jc w:val="center"/>
              <w:rPr>
                <w:rFonts w:hAnsi="宋体" w:cs="宋体"/>
                <w:b/>
                <w:bCs/>
                <w:color w:val="000000" w:themeColor="text1"/>
                <w:kern w:val="0"/>
                <w:sz w:val="21"/>
                <w:szCs w:val="21"/>
                <w14:textFill>
                  <w14:solidFill>
                    <w14:schemeClr w14:val="tx1"/>
                  </w14:solidFill>
                </w14:textFill>
              </w:rPr>
            </w:pPr>
          </w:p>
        </w:tc>
        <w:tc>
          <w:tcPr>
            <w:tcW w:w="1054" w:type="pct"/>
            <w:gridSpan w:val="2"/>
            <w:vMerge w:val="continue"/>
            <w:vAlign w:val="center"/>
          </w:tcPr>
          <w:p w14:paraId="1C0AF80D">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236E7DAF">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36DB046E">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E6DE93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241E0D3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将专项基金开设独立账户、刻制印章，受到警告的行政处罚并被责令限期改正，逾期未改正；或者有其他情节严重的情形。</w:t>
            </w:r>
          </w:p>
        </w:tc>
        <w:tc>
          <w:tcPr>
            <w:tcW w:w="612" w:type="pct"/>
            <w:noWrap/>
            <w:vAlign w:val="center"/>
          </w:tcPr>
          <w:p w14:paraId="3A046A9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w:t>
            </w:r>
          </w:p>
        </w:tc>
      </w:tr>
      <w:tr w14:paraId="1CCB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41" w:hRule="atLeast"/>
          <w:jc w:val="center"/>
        </w:trPr>
        <w:tc>
          <w:tcPr>
            <w:tcW w:w="197" w:type="pct"/>
            <w:vMerge w:val="restart"/>
            <w:vAlign w:val="center"/>
          </w:tcPr>
          <w:p w14:paraId="4FF8A1A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80</w:t>
            </w:r>
          </w:p>
        </w:tc>
        <w:tc>
          <w:tcPr>
            <w:tcW w:w="1054" w:type="pct"/>
            <w:gridSpan w:val="2"/>
            <w:vMerge w:val="restart"/>
            <w:vAlign w:val="center"/>
          </w:tcPr>
          <w:p w14:paraId="34699AD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慈善组织利用专项基金再设立专项基金。</w:t>
            </w:r>
          </w:p>
        </w:tc>
        <w:tc>
          <w:tcPr>
            <w:tcW w:w="940" w:type="pct"/>
            <w:vMerge w:val="restart"/>
            <w:vAlign w:val="center"/>
          </w:tcPr>
          <w:p w14:paraId="6943A8A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《山东省慈善条例》第三十四条第三项：慈善组织不得利用专项基金再设立专项基金。</w:t>
            </w:r>
          </w:p>
        </w:tc>
        <w:tc>
          <w:tcPr>
            <w:tcW w:w="929" w:type="pct"/>
            <w:vMerge w:val="restart"/>
            <w:vAlign w:val="center"/>
          </w:tcPr>
          <w:p w14:paraId="60297F8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《山东省慈善条例》第六十八条：违反本条例规定，慈善组织有下列情形之一的，由县级以上人民政府民政部门责令限期改正，予以警告；逾期不改正的，责令限期停止活动：</w:t>
            </w:r>
          </w:p>
          <w:p w14:paraId="5026348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603EF55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（四）利用专项基金再设立专项基金的。</w:t>
            </w:r>
          </w:p>
          <w:p w14:paraId="6ABABC3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35EF75D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00A694F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利用专项基金再设立专项基金。</w:t>
            </w:r>
          </w:p>
        </w:tc>
        <w:tc>
          <w:tcPr>
            <w:tcW w:w="612" w:type="pct"/>
            <w:noWrap/>
            <w:vAlign w:val="center"/>
          </w:tcPr>
          <w:p w14:paraId="52EADE6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5C37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41" w:hRule="atLeast"/>
          <w:jc w:val="center"/>
        </w:trPr>
        <w:tc>
          <w:tcPr>
            <w:tcW w:w="197" w:type="pct"/>
            <w:vMerge w:val="continue"/>
            <w:vAlign w:val="center"/>
          </w:tcPr>
          <w:p w14:paraId="06FEDE53">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5E236D7E">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39A20E85">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7EBF2C3">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CFD2E8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738E9F5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利用专项基金再设立专项基金，受到警告的行政处罚并被责令限期改正，逾期未改正；或者有其他情节严重的情形。</w:t>
            </w:r>
          </w:p>
        </w:tc>
        <w:tc>
          <w:tcPr>
            <w:tcW w:w="612" w:type="pct"/>
            <w:noWrap/>
            <w:vAlign w:val="center"/>
          </w:tcPr>
          <w:p w14:paraId="2AF2DB3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责令限期停止活动（1-6个月）。</w:t>
            </w:r>
          </w:p>
        </w:tc>
      </w:tr>
      <w:tr w14:paraId="46902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restart"/>
            <w:vAlign w:val="center"/>
          </w:tcPr>
          <w:p w14:paraId="05B97892">
            <w:pPr>
              <w:adjustRightInd w:val="0"/>
              <w:snapToGrid w:val="0"/>
              <w:jc w:val="center"/>
              <w:rPr>
                <w:rFonts w:hAnsi="宋体" w:cs="宋体"/>
                <w:bCs/>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81</w:t>
            </w:r>
          </w:p>
        </w:tc>
        <w:tc>
          <w:tcPr>
            <w:tcW w:w="1054" w:type="pct"/>
            <w:gridSpan w:val="2"/>
            <w:vMerge w:val="restart"/>
            <w:vAlign w:val="center"/>
          </w:tcPr>
          <w:p w14:paraId="5867467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慈善信托的委托人、受托人将信托财产及其收益用于非慈善目的。</w:t>
            </w:r>
          </w:p>
        </w:tc>
        <w:tc>
          <w:tcPr>
            <w:tcW w:w="940" w:type="pct"/>
            <w:vMerge w:val="restart"/>
            <w:vAlign w:val="center"/>
          </w:tcPr>
          <w:p w14:paraId="73F722B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《慈善法》第四十四条：本法所称慈善信托属于公益信托，是指委托人基于慈善目的，依法将其财产委托给受托人，由受托人按照委托人意愿以受托人名义进行管理和处分，开展慈善活动的行为。</w:t>
            </w:r>
          </w:p>
        </w:tc>
        <w:tc>
          <w:tcPr>
            <w:tcW w:w="929" w:type="pct"/>
            <w:vMerge w:val="restart"/>
            <w:vAlign w:val="center"/>
          </w:tcPr>
          <w:p w14:paraId="62BCC2A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八条：慈善信托的委托人、受托人有下列情形之一的，由县级以上人民政府民政部门责令限期改正，予以警告，并没收违法所得；对直接负责的主管人员和其他直接责任人员处二万元以上二十万元以下罚款：</w:t>
            </w:r>
          </w:p>
          <w:p w14:paraId="4F7A73B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（一）将信托财产及其收益用于非慈善目的的；</w:t>
            </w:r>
          </w:p>
          <w:p w14:paraId="546FD1C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5B73197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50818F9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慈善信托的委托人、受托人将信托财产及其收益用于非慈善目的，情节较轻；社会不良影响较小或能主动消除（减轻）危害后果。</w:t>
            </w:r>
          </w:p>
        </w:tc>
        <w:tc>
          <w:tcPr>
            <w:tcW w:w="612" w:type="pct"/>
            <w:noWrap/>
            <w:vAlign w:val="center"/>
          </w:tcPr>
          <w:p w14:paraId="35D147C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702A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7373E5B0">
            <w:pPr>
              <w:adjustRightInd w:val="0"/>
              <w:snapToGrid w:val="0"/>
              <w:jc w:val="center"/>
              <w:rPr>
                <w:rFonts w:hAnsi="宋体" w:cs="宋体"/>
                <w:b/>
                <w:bCs/>
                <w:color w:val="000000" w:themeColor="text1"/>
                <w:kern w:val="0"/>
                <w:sz w:val="21"/>
                <w:szCs w:val="21"/>
                <w14:textFill>
                  <w14:solidFill>
                    <w14:schemeClr w14:val="tx1"/>
                  </w14:solidFill>
                </w14:textFill>
              </w:rPr>
            </w:pPr>
          </w:p>
        </w:tc>
        <w:tc>
          <w:tcPr>
            <w:tcW w:w="1054" w:type="pct"/>
            <w:gridSpan w:val="2"/>
            <w:vMerge w:val="continue"/>
            <w:vAlign w:val="center"/>
          </w:tcPr>
          <w:p w14:paraId="79CA60BD">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32082AB4">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FF29ED3">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9CDF66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07182D3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慈善信托的委托人、受托人将信托财产及其收益用于非慈善目的造成较大不良社会影响；具有其他情节较重情形。</w:t>
            </w:r>
          </w:p>
        </w:tc>
        <w:tc>
          <w:tcPr>
            <w:tcW w:w="612" w:type="pct"/>
            <w:noWrap/>
            <w:vAlign w:val="center"/>
          </w:tcPr>
          <w:p w14:paraId="12ED2FF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警告；对直接负责的主管人员和其他直接责任人员处五万元以上不超过十万元罚款；没收违法所得。</w:t>
            </w:r>
          </w:p>
        </w:tc>
      </w:tr>
      <w:tr w14:paraId="52A87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28D0AD26">
            <w:pPr>
              <w:adjustRightInd w:val="0"/>
              <w:snapToGrid w:val="0"/>
              <w:jc w:val="center"/>
              <w:rPr>
                <w:rFonts w:hAnsi="宋体" w:cs="宋体"/>
                <w:b/>
                <w:bCs/>
                <w:color w:val="000000" w:themeColor="text1"/>
                <w:kern w:val="0"/>
                <w:sz w:val="21"/>
                <w:szCs w:val="21"/>
                <w14:textFill>
                  <w14:solidFill>
                    <w14:schemeClr w14:val="tx1"/>
                  </w14:solidFill>
                </w14:textFill>
              </w:rPr>
            </w:pPr>
          </w:p>
        </w:tc>
        <w:tc>
          <w:tcPr>
            <w:tcW w:w="1054" w:type="pct"/>
            <w:gridSpan w:val="2"/>
            <w:vMerge w:val="continue"/>
            <w:vAlign w:val="center"/>
          </w:tcPr>
          <w:p w14:paraId="15C6EFEC">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333256E3">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340873C6">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0CA7795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较重处罚</w:t>
            </w:r>
          </w:p>
        </w:tc>
        <w:tc>
          <w:tcPr>
            <w:tcW w:w="1028" w:type="pct"/>
            <w:noWrap/>
            <w:vAlign w:val="center"/>
          </w:tcPr>
          <w:p w14:paraId="67FE5F1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慈善信托的委托人、受托人将信托财产及其收益用于非慈善目的，造成严重不良社会影响；具有其他情节严重情形。</w:t>
            </w:r>
          </w:p>
        </w:tc>
        <w:tc>
          <w:tcPr>
            <w:tcW w:w="612" w:type="pct"/>
            <w:noWrap/>
            <w:vAlign w:val="center"/>
          </w:tcPr>
          <w:p w14:paraId="52ED5EF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警告；对直接负责的主管人员和其他直接责任人员处十万元以上不超过二十万元罚款；没收违法所得。</w:t>
            </w:r>
          </w:p>
        </w:tc>
      </w:tr>
      <w:tr w14:paraId="0040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restart"/>
            <w:vAlign w:val="center"/>
          </w:tcPr>
          <w:p w14:paraId="07DDCBF4">
            <w:pPr>
              <w:adjustRightInd w:val="0"/>
              <w:snapToGrid w:val="0"/>
              <w:jc w:val="center"/>
              <w:rPr>
                <w:rFonts w:hAnsi="宋体" w:cs="宋体"/>
                <w:bCs/>
                <w:color w:val="000000" w:themeColor="text1"/>
                <w:kern w:val="0"/>
                <w:sz w:val="21"/>
                <w:szCs w:val="21"/>
                <w14:textFill>
                  <w14:solidFill>
                    <w14:schemeClr w14:val="tx1"/>
                  </w14:solidFill>
                </w14:textFill>
              </w:rPr>
            </w:pPr>
            <w:r>
              <w:rPr>
                <w:rFonts w:hint="eastAsia" w:hAnsi="宋体" w:cs="宋体"/>
                <w:bCs/>
                <w:color w:val="000000" w:themeColor="text1"/>
                <w:kern w:val="0"/>
                <w:sz w:val="21"/>
                <w:szCs w:val="21"/>
                <w14:textFill>
                  <w14:solidFill>
                    <w14:schemeClr w14:val="tx1"/>
                  </w14:solidFill>
                </w14:textFill>
              </w:rPr>
              <w:t>82</w:t>
            </w:r>
          </w:p>
        </w:tc>
        <w:tc>
          <w:tcPr>
            <w:tcW w:w="1054" w:type="pct"/>
            <w:gridSpan w:val="2"/>
            <w:vMerge w:val="restart"/>
            <w:vAlign w:val="center"/>
          </w:tcPr>
          <w:p w14:paraId="7510EB6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慈善信托的委托人、受托人指定或者变相指定委托人、受托人及其工作人员的利害关系人作为受益人。</w:t>
            </w:r>
          </w:p>
        </w:tc>
        <w:tc>
          <w:tcPr>
            <w:tcW w:w="940" w:type="pct"/>
            <w:vMerge w:val="restart"/>
            <w:vAlign w:val="center"/>
          </w:tcPr>
          <w:p w14:paraId="5D4BBD2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《慈善法》第四十六条：慈善信托的委托人不得指定或者变相指定其利害关系人作为受益人。</w:t>
            </w:r>
          </w:p>
          <w:p w14:paraId="076BB59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慈善信托的受托人确定受益人，应当坚持公开、公平、公正的原则，不得指定或者变相指定受托人及其工作人员的利害关系人作为受益人。</w:t>
            </w:r>
          </w:p>
        </w:tc>
        <w:tc>
          <w:tcPr>
            <w:tcW w:w="929" w:type="pct"/>
            <w:vMerge w:val="restart"/>
            <w:vAlign w:val="center"/>
          </w:tcPr>
          <w:p w14:paraId="34766D4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八条：慈善信托的委托人、受托人有下列情形之一的，由县级以上人民政府民政部门责令限期改正，予以警告，并没收违法所得；对直接负责的主管人员和其他直接责任人员处二万元以上二十万元以下罚款：</w:t>
            </w:r>
          </w:p>
          <w:p w14:paraId="6FE9CDC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5F421DB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（二）指定或者变相指定委托人、受托人及其工作人员的利害关系人作为受益人的；</w:t>
            </w:r>
          </w:p>
          <w:p w14:paraId="38F23AF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1A1D80F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5D4FA80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慈善信托的委托人、受托人指定或者变相指定委托人、受托人及其工作人员的利害关系人作为受益人，情节较轻；社会不良影响较小或能主动消除（减轻）危害后果。</w:t>
            </w:r>
          </w:p>
        </w:tc>
        <w:tc>
          <w:tcPr>
            <w:tcW w:w="612" w:type="pct"/>
            <w:noWrap/>
            <w:vAlign w:val="center"/>
          </w:tcPr>
          <w:p w14:paraId="47A1202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63A5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4F3FF587">
            <w:pPr>
              <w:adjustRightInd w:val="0"/>
              <w:snapToGrid w:val="0"/>
              <w:jc w:val="center"/>
              <w:rPr>
                <w:rFonts w:hAnsi="宋体" w:cs="宋体"/>
                <w:b/>
                <w:bCs/>
                <w:color w:val="000000" w:themeColor="text1"/>
                <w:kern w:val="0"/>
                <w:sz w:val="21"/>
                <w:szCs w:val="21"/>
                <w14:textFill>
                  <w14:solidFill>
                    <w14:schemeClr w14:val="tx1"/>
                  </w14:solidFill>
                </w14:textFill>
              </w:rPr>
            </w:pPr>
          </w:p>
        </w:tc>
        <w:tc>
          <w:tcPr>
            <w:tcW w:w="1054" w:type="pct"/>
            <w:gridSpan w:val="2"/>
            <w:vMerge w:val="continue"/>
            <w:vAlign w:val="center"/>
          </w:tcPr>
          <w:p w14:paraId="58A1CA8E">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61214D21">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531712A">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C7DE7F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4C0DC14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慈善信托的委托人、受托人指定或者变相指定委托人、受托人及其工作人员的利害关系人作为受益人，造成较大不良社会影响；具有其他情节较重情形。</w:t>
            </w:r>
          </w:p>
        </w:tc>
        <w:tc>
          <w:tcPr>
            <w:tcW w:w="612" w:type="pct"/>
            <w:noWrap/>
            <w:vAlign w:val="center"/>
          </w:tcPr>
          <w:p w14:paraId="395D9B9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警告；没收违法所得；对直接负责的主管人员和其他直接责任人员处五万元以上十万元以下罚款；没收违法所得。</w:t>
            </w:r>
          </w:p>
        </w:tc>
      </w:tr>
      <w:tr w14:paraId="2872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34812F3A">
            <w:pPr>
              <w:adjustRightInd w:val="0"/>
              <w:snapToGrid w:val="0"/>
              <w:jc w:val="center"/>
              <w:rPr>
                <w:rFonts w:hAnsi="宋体" w:cs="宋体"/>
                <w:b/>
                <w:bCs/>
                <w:color w:val="000000" w:themeColor="text1"/>
                <w:kern w:val="0"/>
                <w:sz w:val="21"/>
                <w:szCs w:val="21"/>
                <w14:textFill>
                  <w14:solidFill>
                    <w14:schemeClr w14:val="tx1"/>
                  </w14:solidFill>
                </w14:textFill>
              </w:rPr>
            </w:pPr>
          </w:p>
        </w:tc>
        <w:tc>
          <w:tcPr>
            <w:tcW w:w="1054" w:type="pct"/>
            <w:gridSpan w:val="2"/>
            <w:vMerge w:val="continue"/>
            <w:vAlign w:val="center"/>
          </w:tcPr>
          <w:p w14:paraId="37533D9C">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60A1D191">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1A3DD8FB">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CB6916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728A555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慈善信托的委托人、受托人指定或者变相指定委托人、受托人及其工作人员的利害关系人作为受益人，造成严重不良社会影响；具有其他情节严重情形。</w:t>
            </w:r>
          </w:p>
        </w:tc>
        <w:tc>
          <w:tcPr>
            <w:tcW w:w="612" w:type="pct"/>
            <w:noWrap/>
            <w:vAlign w:val="center"/>
          </w:tcPr>
          <w:p w14:paraId="29D77DB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警告；没收违法所得；对直接负责的主管人员和其他直接责任人员处十万元以上二十万元以下罚款；没收违法所得。</w:t>
            </w:r>
          </w:p>
        </w:tc>
      </w:tr>
      <w:tr w14:paraId="2C887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restart"/>
            <w:noWrap/>
            <w:vAlign w:val="center"/>
          </w:tcPr>
          <w:p w14:paraId="4806EFB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83</w:t>
            </w:r>
          </w:p>
        </w:tc>
        <w:tc>
          <w:tcPr>
            <w:tcW w:w="1054" w:type="pct"/>
            <w:gridSpan w:val="2"/>
            <w:vMerge w:val="restart"/>
            <w:noWrap/>
            <w:vAlign w:val="center"/>
          </w:tcPr>
          <w:p w14:paraId="36871ED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慈善信托的受托人未按照规定将信托事务处理情况及财务状况向民政部门报告。</w:t>
            </w:r>
          </w:p>
        </w:tc>
        <w:tc>
          <w:tcPr>
            <w:tcW w:w="940" w:type="pct"/>
            <w:vMerge w:val="restart"/>
            <w:noWrap/>
            <w:vAlign w:val="center"/>
          </w:tcPr>
          <w:p w14:paraId="43587BD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四十九条第二款：慈善信托的受托人应当根据信托文件和委托人的要求，及时向委托人报告信托事务处理情况、信托财产管理使用情况。慈善信托的受托人应当每年至少一次将信托事务处理情况及财务状况向办理其备案的民政部门报告，并向社会公开。</w:t>
            </w:r>
          </w:p>
        </w:tc>
        <w:tc>
          <w:tcPr>
            <w:tcW w:w="929" w:type="pct"/>
            <w:vMerge w:val="restart"/>
            <w:noWrap/>
            <w:vAlign w:val="center"/>
          </w:tcPr>
          <w:p w14:paraId="053A2B1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慈善法》第一百一十八条：慈善信托的委托人、受托人有下列情形之一的，由县级以上人民政府民政部门责令限期改正，予以警告，并没收违法所得；对直接负责的主管人员和其他直接责任人员处二万元以上二十万元以下罚款：</w:t>
            </w:r>
          </w:p>
          <w:p w14:paraId="1817A59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03710C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（三）未按照规定将信托事务处理情况及财务状况向民政部门报告的；</w:t>
            </w:r>
          </w:p>
          <w:p w14:paraId="44049C6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7A7A93A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0B2A710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未按照规定将信托事务处理情况及财务状况向民政部门报告，情节较轻；社会不良影响较小或能主动消除（减轻）危害后果。</w:t>
            </w:r>
          </w:p>
        </w:tc>
        <w:tc>
          <w:tcPr>
            <w:tcW w:w="612" w:type="pct"/>
            <w:noWrap/>
            <w:vAlign w:val="center"/>
          </w:tcPr>
          <w:p w14:paraId="1B19EC4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4A8F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41210544">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5B906DE">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40CEBC2B">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3150336">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568413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0DDF50C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未按照规定将信托事务处理情况及财务状况向民政部门报告，造成较大不良社会影响；具有其他情节较重情形。</w:t>
            </w:r>
          </w:p>
        </w:tc>
        <w:tc>
          <w:tcPr>
            <w:tcW w:w="612" w:type="pct"/>
            <w:noWrap/>
            <w:vAlign w:val="center"/>
          </w:tcPr>
          <w:p w14:paraId="3AF8E43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警告；对直接负责的主管人员和其他直接责任人员处五万元以上不超过十万元罚款；没收违法所得。</w:t>
            </w:r>
          </w:p>
        </w:tc>
      </w:tr>
      <w:tr w14:paraId="6A6E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063885A4">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27E323A">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1127BF86">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B1D66C0">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66B9F3B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3AA510A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未按照规定将信托事务处理情况及财务状况向民政部门报告，造成严重不良社会影响；具有其他情节严重情形。</w:t>
            </w:r>
          </w:p>
        </w:tc>
        <w:tc>
          <w:tcPr>
            <w:tcW w:w="612" w:type="pct"/>
            <w:noWrap/>
            <w:vAlign w:val="center"/>
          </w:tcPr>
          <w:p w14:paraId="3990A99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警告；对直接负责的主管人员和其他直接责任人员处十万元以上二十万元以下罚款；没收违法所得。</w:t>
            </w:r>
          </w:p>
        </w:tc>
      </w:tr>
      <w:tr w14:paraId="7CEE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restart"/>
            <w:noWrap/>
            <w:vAlign w:val="center"/>
          </w:tcPr>
          <w:p w14:paraId="55DBAEF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bCs/>
                <w:color w:val="000000" w:themeColor="text1"/>
                <w:kern w:val="0"/>
                <w:sz w:val="21"/>
                <w:szCs w:val="21"/>
                <w14:textFill>
                  <w14:solidFill>
                    <w14:schemeClr w14:val="tx1"/>
                  </w14:solidFill>
                </w14:textFill>
              </w:rPr>
              <w:t>84</w:t>
            </w:r>
          </w:p>
        </w:tc>
        <w:tc>
          <w:tcPr>
            <w:tcW w:w="1054" w:type="pct"/>
            <w:gridSpan w:val="2"/>
            <w:vMerge w:val="restart"/>
            <w:noWrap/>
            <w:vAlign w:val="center"/>
          </w:tcPr>
          <w:p w14:paraId="5EFDC24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慈善信托的委托人、受托人违反慈善信托的年度支出或者管理费用标准。</w:t>
            </w:r>
          </w:p>
        </w:tc>
        <w:tc>
          <w:tcPr>
            <w:tcW w:w="940" w:type="pct"/>
            <w:vMerge w:val="restart"/>
            <w:noWrap/>
            <w:vAlign w:val="center"/>
          </w:tcPr>
          <w:p w14:paraId="4DCF41E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《慈善法》第六十一条第四款：慈善信托的年度支出和管理费用标准，由国务院民政部门会同财政、税务和金融监督管理等部门制定。</w:t>
            </w:r>
          </w:p>
          <w:p w14:paraId="48DF10A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《关于慈善信托年度支出和管理费用的规定》第五条、第九条的相关规定。</w:t>
            </w:r>
          </w:p>
        </w:tc>
        <w:tc>
          <w:tcPr>
            <w:tcW w:w="929" w:type="pct"/>
            <w:vMerge w:val="restart"/>
            <w:noWrap/>
            <w:vAlign w:val="center"/>
          </w:tcPr>
          <w:p w14:paraId="719BE2D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八条：慈善信托的委托人、受托人有下列情形之一的，由县级以上人民政府民政部门责令限期改正，予以警告，并没收违法所得；对直接负责的主管人员和其他直接责任人员处二万元以上二十万元以下罚款：</w:t>
            </w:r>
          </w:p>
          <w:p w14:paraId="165D8F1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4401E27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（四）违反慈善信托的年度支出或者管理费用标准的；</w:t>
            </w:r>
          </w:p>
          <w:p w14:paraId="75F9087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0D10F72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41DFDE8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慈善信托的委托人、受托人违反慈善信托的年度支出或者管理费用标准。</w:t>
            </w:r>
          </w:p>
        </w:tc>
        <w:tc>
          <w:tcPr>
            <w:tcW w:w="612" w:type="pct"/>
            <w:noWrap/>
            <w:vAlign w:val="center"/>
          </w:tcPr>
          <w:p w14:paraId="654AFA1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099A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1BD1EC1E">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976614B">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293C40DD">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B4EA130">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ED7786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4DBD350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慈善信托的委托人、受托人违反慈善信托的年度支出或者管理费用标准，造成较大不良社会影响；具有其他情节较重情形。</w:t>
            </w:r>
          </w:p>
        </w:tc>
        <w:tc>
          <w:tcPr>
            <w:tcW w:w="612" w:type="pct"/>
            <w:noWrap/>
            <w:vAlign w:val="center"/>
          </w:tcPr>
          <w:p w14:paraId="613D42E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警告；对直接负责的主管人员和其他直接责任人员处五万元以上十万元以下罚款；没收违法所得。</w:t>
            </w:r>
          </w:p>
        </w:tc>
      </w:tr>
      <w:tr w14:paraId="448A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07FC247C">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0A77237B">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08DB0835">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342D6A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F2E5D3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2780A0A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慈善信托的委托人、受托人违反慈善信托的年度支出或者管理费用标准，造成严重不良社会影响；具有其他情节严重情形。</w:t>
            </w:r>
          </w:p>
        </w:tc>
        <w:tc>
          <w:tcPr>
            <w:tcW w:w="612" w:type="pct"/>
            <w:noWrap/>
            <w:vAlign w:val="center"/>
          </w:tcPr>
          <w:p w14:paraId="410EC9E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警告；对直接负责的主管人员和其他直接责任人员处十万元以上二十万元以下罚款；没收违法所得。</w:t>
            </w:r>
          </w:p>
        </w:tc>
      </w:tr>
      <w:tr w14:paraId="28FF4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restart"/>
            <w:noWrap/>
            <w:vAlign w:val="center"/>
          </w:tcPr>
          <w:p w14:paraId="6632CAA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bCs/>
                <w:color w:val="000000" w:themeColor="text1"/>
                <w:kern w:val="0"/>
                <w:sz w:val="21"/>
                <w:szCs w:val="21"/>
                <w14:textFill>
                  <w14:solidFill>
                    <w14:schemeClr w14:val="tx1"/>
                  </w14:solidFill>
                </w14:textFill>
              </w:rPr>
              <w:t>85</w:t>
            </w:r>
          </w:p>
        </w:tc>
        <w:tc>
          <w:tcPr>
            <w:tcW w:w="1054" w:type="pct"/>
            <w:gridSpan w:val="2"/>
            <w:vMerge w:val="restart"/>
            <w:noWrap/>
            <w:vAlign w:val="center"/>
          </w:tcPr>
          <w:p w14:paraId="7A9C950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慈善信托的受托人未依法履行信息公开义务。</w:t>
            </w:r>
          </w:p>
        </w:tc>
        <w:tc>
          <w:tcPr>
            <w:tcW w:w="940" w:type="pct"/>
            <w:vMerge w:val="restart"/>
            <w:noWrap/>
            <w:vAlign w:val="center"/>
          </w:tcPr>
          <w:p w14:paraId="3CC8987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《慈善法》第七十七条：慈善组织、慈善信托的受托人应当依法履行信息公开义务。信息公开应当真实、完整、及时。</w:t>
            </w:r>
          </w:p>
          <w:p w14:paraId="47BD568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《慈善信托信息公开办法》第三条、第四条、第五条、第六条、第七条、第八条、第九条、第十条、第十一条、第十二条、第十三条、第十四条、第十五条、第十六条有关规定。</w:t>
            </w:r>
          </w:p>
        </w:tc>
        <w:tc>
          <w:tcPr>
            <w:tcW w:w="929" w:type="pct"/>
            <w:vMerge w:val="restart"/>
            <w:noWrap/>
            <w:vAlign w:val="center"/>
          </w:tcPr>
          <w:p w14:paraId="4210F81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法》第一百一十八条：慈善信托的委托人、受托人有下列情形之一的，由县级以上人民政府民政部门责令限期改正，予以警告，并没收违法所得；对直接负责的主管人员和其他直接责任人员处二万元以上二十万元以下罚款：</w:t>
            </w:r>
          </w:p>
          <w:p w14:paraId="049DD24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6CDE564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（五）未依法履行信息公开义务的。</w:t>
            </w:r>
          </w:p>
          <w:p w14:paraId="1034AC3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08A6444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《慈善信托信息公开办法》第二十二条第一款：受托人未依本办法履行信息公开义务的，由办理其备案的民政部门依据《中华人民共和国慈善法》第一百一十八条规定进行处罚。</w:t>
            </w:r>
          </w:p>
        </w:tc>
        <w:tc>
          <w:tcPr>
            <w:tcW w:w="237" w:type="pct"/>
            <w:noWrap/>
            <w:vAlign w:val="center"/>
          </w:tcPr>
          <w:p w14:paraId="2189E2C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716651A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慈善信托的受托人未依法履行信息公开义务。</w:t>
            </w:r>
          </w:p>
        </w:tc>
        <w:tc>
          <w:tcPr>
            <w:tcW w:w="612" w:type="pct"/>
            <w:noWrap/>
            <w:vAlign w:val="center"/>
          </w:tcPr>
          <w:p w14:paraId="7DB74F4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1563F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34484AE1">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4CA7BACA">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19E415B8">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0877DCE7">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F0711D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48D226E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慈善信托的受托人未依法履行信息公开义务，造成较大不良社会影响；具有其他情节较重情形。</w:t>
            </w:r>
          </w:p>
        </w:tc>
        <w:tc>
          <w:tcPr>
            <w:tcW w:w="612" w:type="pct"/>
            <w:noWrap/>
            <w:vAlign w:val="center"/>
          </w:tcPr>
          <w:p w14:paraId="638FE96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警告；对直接负责的主管人员和其他直接责任人员处五万元以上十万元以下罚款；没收违法所得。</w:t>
            </w:r>
          </w:p>
        </w:tc>
      </w:tr>
      <w:tr w14:paraId="73CE0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2765F7CE">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3C16A27F">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53EADBA7">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3F798D16">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935D0B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3CAEB5A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慈善信托的受托人未依法履行信息公开义务，造成严重不良社会影响；具有其他情节严重情形。</w:t>
            </w:r>
          </w:p>
        </w:tc>
        <w:tc>
          <w:tcPr>
            <w:tcW w:w="612" w:type="pct"/>
            <w:noWrap/>
            <w:vAlign w:val="center"/>
          </w:tcPr>
          <w:p w14:paraId="3583C83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警告；对直接负责的主管人员和其他直接责任人员处十万元以上二十万元以下罚款；没收违法所得。</w:t>
            </w:r>
          </w:p>
        </w:tc>
      </w:tr>
      <w:tr w14:paraId="7BB4F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restart"/>
            <w:noWrap/>
            <w:vAlign w:val="center"/>
          </w:tcPr>
          <w:p w14:paraId="4875193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86</w:t>
            </w:r>
          </w:p>
        </w:tc>
        <w:tc>
          <w:tcPr>
            <w:tcW w:w="1054" w:type="pct"/>
            <w:gridSpan w:val="2"/>
            <w:vMerge w:val="restart"/>
            <w:noWrap/>
            <w:vAlign w:val="center"/>
          </w:tcPr>
          <w:p w14:paraId="575EE74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慈善信托的受托人利用信托财产为自己谋取利益或者将信托财产转为其固有财产。</w:t>
            </w:r>
          </w:p>
        </w:tc>
        <w:tc>
          <w:tcPr>
            <w:tcW w:w="940" w:type="pct"/>
            <w:vMerge w:val="restart"/>
            <w:noWrap/>
            <w:vAlign w:val="center"/>
          </w:tcPr>
          <w:p w14:paraId="5C95740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《山东省慈善条例》第四十三条第二项：慈善信托受托人应当按照信托目的，履行诚信、谨慎、有效管理的义务，不得利用慈善信托财产为自己谋取利益，不得将慈善信托财产转为其固有财产。</w:t>
            </w:r>
          </w:p>
        </w:tc>
        <w:tc>
          <w:tcPr>
            <w:tcW w:w="929" w:type="pct"/>
            <w:vMerge w:val="restart"/>
            <w:noWrap/>
            <w:vAlign w:val="center"/>
          </w:tcPr>
          <w:p w14:paraId="60AB3CD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慈善条例》第六十九条：违反本条例规定，慈善信托的受托人利用信托财产为自己谋取利益或者将信托财产转为其固有财产的，由县级以上人民政府民政部门责令限期改正，予以警告；有违法所得的，没收违法所得；对直接负责的主管人员和其他直接责任人员处以二万元以上二十万元以下罚款。</w:t>
            </w:r>
          </w:p>
        </w:tc>
        <w:tc>
          <w:tcPr>
            <w:tcW w:w="237" w:type="pct"/>
            <w:noWrap/>
            <w:vAlign w:val="center"/>
          </w:tcPr>
          <w:p w14:paraId="17DD7DC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358B608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慈善信托的受托人利用信托财产为自己谋取利益或者将信托财产转为其固有财产。</w:t>
            </w:r>
          </w:p>
        </w:tc>
        <w:tc>
          <w:tcPr>
            <w:tcW w:w="612" w:type="pct"/>
            <w:noWrap/>
            <w:vAlign w:val="center"/>
          </w:tcPr>
          <w:p w14:paraId="6CDD9D6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警告；对直接负责的主管人员和其他直接责任人员处二万元以上不超过五万元罚款；没收违法所得。</w:t>
            </w:r>
          </w:p>
        </w:tc>
      </w:tr>
      <w:tr w14:paraId="274E0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1624648D">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561648BA">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2D4C817E">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0EA4A67F">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5DA8D0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75B4C98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慈善信托的受托人利用信托财产为自己谋取利益或者将信托财产转为其固有财产，造成较大不良社会影响；具有其他情节较重情形。</w:t>
            </w:r>
          </w:p>
        </w:tc>
        <w:tc>
          <w:tcPr>
            <w:tcW w:w="612" w:type="pct"/>
            <w:noWrap/>
            <w:vAlign w:val="center"/>
          </w:tcPr>
          <w:p w14:paraId="62941FC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警告；对直接负责的主管人员和其他直接责任人员处五万元以上不超过十万元罚款；没收违法所得。</w:t>
            </w:r>
          </w:p>
        </w:tc>
      </w:tr>
      <w:tr w14:paraId="113AC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6F4B162E">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53149E7D">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31DDBDF1">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DE2D81E">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E7A37E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1F1F008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慈善信托的受托人利用信托财产为自己谋取利益或者将信托财产转为其固有财产，造成严重不良影响；具有其他情节严重情形。</w:t>
            </w:r>
          </w:p>
        </w:tc>
        <w:tc>
          <w:tcPr>
            <w:tcW w:w="612" w:type="pct"/>
            <w:noWrap/>
            <w:vAlign w:val="center"/>
          </w:tcPr>
          <w:p w14:paraId="6B23D84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警告；对直接负责的主管人员和其他直接责任人员处十万元以上二十万元以下罚款；没收违法所得。</w:t>
            </w:r>
          </w:p>
        </w:tc>
      </w:tr>
      <w:tr w14:paraId="6123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exact"/>
          <w:jc w:val="center"/>
        </w:trPr>
        <w:tc>
          <w:tcPr>
            <w:tcW w:w="5000" w:type="pct"/>
            <w:gridSpan w:val="8"/>
            <w:noWrap/>
            <w:vAlign w:val="center"/>
          </w:tcPr>
          <w:p w14:paraId="05FD88B4">
            <w:pPr>
              <w:adjustRightInd w:val="0"/>
              <w:snapToGrid w:val="0"/>
              <w:rPr>
                <w:rFonts w:ascii="黑体" w:hAnsi="黑体" w:eastAsia="黑体" w:cs="宋体"/>
                <w:color w:val="000000" w:themeColor="text1"/>
                <w:kern w:val="0"/>
                <w:sz w:val="21"/>
                <w:szCs w:val="21"/>
                <w14:textFill>
                  <w14:solidFill>
                    <w14:schemeClr w14:val="tx1"/>
                  </w14:solidFill>
                </w14:textFill>
              </w:rPr>
            </w:pPr>
            <w:r>
              <w:rPr>
                <w:rFonts w:hint="eastAsia" w:ascii="黑体" w:hAnsi="黑体" w:eastAsia="黑体" w:cs="宋体"/>
                <w:color w:val="000000" w:themeColor="text1"/>
                <w:kern w:val="0"/>
                <w:sz w:val="21"/>
                <w:szCs w:val="21"/>
                <w14:textFill>
                  <w14:solidFill>
                    <w14:schemeClr w14:val="tx1"/>
                  </w14:solidFill>
                </w14:textFill>
              </w:rPr>
              <w:t>七、福利彩票管理工作</w:t>
            </w:r>
          </w:p>
        </w:tc>
      </w:tr>
      <w:tr w14:paraId="1FE8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51" w:hRule="exact"/>
          <w:jc w:val="center"/>
        </w:trPr>
        <w:tc>
          <w:tcPr>
            <w:tcW w:w="197" w:type="pct"/>
            <w:vMerge w:val="restart"/>
            <w:noWrap/>
            <w:vAlign w:val="center"/>
          </w:tcPr>
          <w:p w14:paraId="2344C4A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87</w:t>
            </w:r>
          </w:p>
        </w:tc>
        <w:tc>
          <w:tcPr>
            <w:tcW w:w="1054" w:type="pct"/>
            <w:gridSpan w:val="2"/>
            <w:vMerge w:val="restart"/>
            <w:noWrap/>
            <w:vAlign w:val="center"/>
          </w:tcPr>
          <w:p w14:paraId="11E9D09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彩票代销者委托他人代销彩票。</w:t>
            </w:r>
          </w:p>
        </w:tc>
        <w:tc>
          <w:tcPr>
            <w:tcW w:w="940" w:type="pct"/>
            <w:vMerge w:val="restart"/>
            <w:noWrap/>
            <w:vAlign w:val="center"/>
          </w:tcPr>
          <w:p w14:paraId="7569BC2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《彩票管理条例》第十五条第二款：彩票代销者不得委托他人代销彩票。</w:t>
            </w:r>
          </w:p>
        </w:tc>
        <w:tc>
          <w:tcPr>
            <w:tcW w:w="929" w:type="pct"/>
            <w:vMerge w:val="restart"/>
            <w:noWrap/>
            <w:vAlign w:val="center"/>
          </w:tcPr>
          <w:p w14:paraId="0F372CD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《彩票管理条例》第四十一条第一款第一项：彩票代销者有下列行为之一的，由民政部门、体育行政部门责令改正，处2</w:t>
            </w:r>
            <w:r>
              <w:rPr>
                <w:rFonts w:hAnsi="宋体" w:cs="宋体"/>
                <w:color w:val="000000" w:themeColor="text1"/>
                <w:kern w:val="0"/>
                <w:sz w:val="21"/>
                <w:szCs w:val="21"/>
                <w14:textFill>
                  <w14:solidFill>
                    <w14:schemeClr w14:val="tx1"/>
                  </w14:solidFill>
                </w14:textFill>
              </w:rPr>
              <w:t>000</w:t>
            </w:r>
            <w:r>
              <w:rPr>
                <w:rFonts w:hint="eastAsia" w:hAnsi="宋体" w:cs="宋体"/>
                <w:color w:val="000000" w:themeColor="text1"/>
                <w:kern w:val="0"/>
                <w:sz w:val="21"/>
                <w:szCs w:val="21"/>
                <w14:textFill>
                  <w14:solidFill>
                    <w14:schemeClr w14:val="tx1"/>
                  </w14:solidFill>
                </w14:textFill>
              </w:rPr>
              <w:t>元以上1万元以下罚款；有违法所得的，没收违法所得：</w:t>
            </w:r>
          </w:p>
          <w:p w14:paraId="762E918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（一）委托他人代销彩票或者转借、出租、出售彩票投注专用设备的。</w:t>
            </w:r>
          </w:p>
          <w:p w14:paraId="6885529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17B56B1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19A9EC1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委托期限3个月以下。</w:t>
            </w:r>
          </w:p>
        </w:tc>
        <w:tc>
          <w:tcPr>
            <w:tcW w:w="612" w:type="pct"/>
            <w:noWrap/>
            <w:vAlign w:val="center"/>
          </w:tcPr>
          <w:p w14:paraId="78CE1FD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处两千元以上不超过五千元罚款，没收违法所得。</w:t>
            </w:r>
          </w:p>
        </w:tc>
      </w:tr>
      <w:tr w14:paraId="280BE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51" w:hRule="exact"/>
          <w:jc w:val="center"/>
        </w:trPr>
        <w:tc>
          <w:tcPr>
            <w:tcW w:w="197" w:type="pct"/>
            <w:vMerge w:val="continue"/>
            <w:vAlign w:val="center"/>
          </w:tcPr>
          <w:p w14:paraId="34109BE3">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3D74231E">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0E54A4D5">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057F507">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108337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41D02DD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委托期限3个月以上不超过6个月。</w:t>
            </w:r>
          </w:p>
        </w:tc>
        <w:tc>
          <w:tcPr>
            <w:tcW w:w="612" w:type="pct"/>
            <w:noWrap/>
            <w:vAlign w:val="center"/>
          </w:tcPr>
          <w:p w14:paraId="7F874EA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处五千元以上不超过八千元罚款，没收违法所得。</w:t>
            </w:r>
          </w:p>
        </w:tc>
      </w:tr>
      <w:tr w14:paraId="785CC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51" w:hRule="exact"/>
          <w:jc w:val="center"/>
        </w:trPr>
        <w:tc>
          <w:tcPr>
            <w:tcW w:w="197" w:type="pct"/>
            <w:vMerge w:val="continue"/>
            <w:vAlign w:val="center"/>
          </w:tcPr>
          <w:p w14:paraId="04CF304F">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3B39DDA">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022C0478">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7849E4F2">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1FF498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36B2729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委托期限6个月以上。</w:t>
            </w:r>
          </w:p>
        </w:tc>
        <w:tc>
          <w:tcPr>
            <w:tcW w:w="612" w:type="pct"/>
            <w:noWrap/>
            <w:vAlign w:val="center"/>
          </w:tcPr>
          <w:p w14:paraId="63136F2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处八千元以上一万元以下罚款，没收违法所得。</w:t>
            </w:r>
          </w:p>
        </w:tc>
      </w:tr>
      <w:tr w14:paraId="6C73A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restart"/>
            <w:noWrap/>
            <w:vAlign w:val="center"/>
          </w:tcPr>
          <w:p w14:paraId="5769249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88</w:t>
            </w:r>
          </w:p>
        </w:tc>
        <w:tc>
          <w:tcPr>
            <w:tcW w:w="1054" w:type="pct"/>
            <w:gridSpan w:val="2"/>
            <w:vMerge w:val="restart"/>
            <w:noWrap/>
            <w:vAlign w:val="center"/>
          </w:tcPr>
          <w:p w14:paraId="4DB1306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彩票代销者转借、出租、出售彩票投注专用设备。</w:t>
            </w:r>
          </w:p>
          <w:p w14:paraId="542D79E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具体主要有：</w:t>
            </w:r>
          </w:p>
          <w:p w14:paraId="5CC4690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1.彩票代销者转借彩票投注专用设备的；</w:t>
            </w:r>
          </w:p>
          <w:p w14:paraId="2C55B8C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2.彩票代销者出租彩票投注专用设备的；</w:t>
            </w:r>
          </w:p>
          <w:p w14:paraId="2B4A644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3.彩票代销者出售彩票投注专用设备的。</w:t>
            </w:r>
          </w:p>
        </w:tc>
        <w:tc>
          <w:tcPr>
            <w:tcW w:w="940" w:type="pct"/>
            <w:vMerge w:val="restart"/>
            <w:noWrap/>
            <w:vAlign w:val="center"/>
          </w:tcPr>
          <w:p w14:paraId="165AB81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《彩票管理条例》第十六条：彩票销售机构应当为彩票代销者配置彩票投注专用设备。彩票投注专用设备属于彩票销售机构所有，彩票代销者不得转借、出租、出售。</w:t>
            </w:r>
          </w:p>
        </w:tc>
        <w:tc>
          <w:tcPr>
            <w:tcW w:w="929" w:type="pct"/>
            <w:vMerge w:val="restart"/>
            <w:noWrap/>
            <w:vAlign w:val="center"/>
          </w:tcPr>
          <w:p w14:paraId="5A73F0C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《彩票管理条例》第四十一条第一款第一项：彩票代销者有下列行为之一的，由民政部门、体育行政部门责令改正，处2</w:t>
            </w:r>
            <w:r>
              <w:rPr>
                <w:rFonts w:hAnsi="宋体" w:cs="宋体"/>
                <w:color w:val="000000" w:themeColor="text1"/>
                <w:kern w:val="0"/>
                <w:sz w:val="21"/>
                <w:szCs w:val="21"/>
                <w14:textFill>
                  <w14:solidFill>
                    <w14:schemeClr w14:val="tx1"/>
                  </w14:solidFill>
                </w14:textFill>
              </w:rPr>
              <w:t>000</w:t>
            </w:r>
            <w:r>
              <w:rPr>
                <w:rFonts w:hint="eastAsia" w:hAnsi="宋体" w:cs="宋体"/>
                <w:color w:val="000000" w:themeColor="text1"/>
                <w:kern w:val="0"/>
                <w:sz w:val="21"/>
                <w:szCs w:val="21"/>
                <w14:textFill>
                  <w14:solidFill>
                    <w14:schemeClr w14:val="tx1"/>
                  </w14:solidFill>
                </w14:textFill>
              </w:rPr>
              <w:t>元以上1万元以下罚款；有违法所得的，没收违法所得：</w:t>
            </w:r>
          </w:p>
          <w:p w14:paraId="2C012E6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（一）委托他人代销彩票或者转借、出租、出售彩票投注专用设备的。</w:t>
            </w:r>
          </w:p>
          <w:p w14:paraId="338918A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411A651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4379652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初次转借、出租的，且转借、出租时间累计不超过6个月。</w:t>
            </w:r>
          </w:p>
        </w:tc>
        <w:tc>
          <w:tcPr>
            <w:tcW w:w="612" w:type="pct"/>
            <w:noWrap/>
            <w:vAlign w:val="center"/>
          </w:tcPr>
          <w:p w14:paraId="2140B9B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处两千元以上不超过五千元罚款，没收违法所得。</w:t>
            </w:r>
          </w:p>
        </w:tc>
      </w:tr>
      <w:tr w14:paraId="2C5B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0A870998">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29D9205E">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C187681">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194F9F8">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36A82DC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39BEFC6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转借、出租2次以上或者转借、出租时间累计6个月以上不超过12个月。</w:t>
            </w:r>
          </w:p>
        </w:tc>
        <w:tc>
          <w:tcPr>
            <w:tcW w:w="612" w:type="pct"/>
            <w:noWrap/>
            <w:vAlign w:val="center"/>
          </w:tcPr>
          <w:p w14:paraId="44F8DE1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处五千元以上不超过八千元罚款，没收违法所得。</w:t>
            </w:r>
          </w:p>
        </w:tc>
      </w:tr>
      <w:tr w14:paraId="1652E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3F3FF4DD">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27D2E94">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5BDAB897">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7C58997">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2BC265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0D5FBF5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转借、出租时间累计12个月以上的或者彩票代销者出售彩票投注专用设备。</w:t>
            </w:r>
          </w:p>
        </w:tc>
        <w:tc>
          <w:tcPr>
            <w:tcW w:w="612" w:type="pct"/>
            <w:noWrap/>
            <w:vAlign w:val="center"/>
          </w:tcPr>
          <w:p w14:paraId="41D373A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处八千元以上一万元以下罚款，没收违法所得。</w:t>
            </w:r>
          </w:p>
        </w:tc>
      </w:tr>
      <w:tr w14:paraId="49ABA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restart"/>
            <w:noWrap/>
            <w:vAlign w:val="center"/>
          </w:tcPr>
          <w:p w14:paraId="1F28BA1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89</w:t>
            </w:r>
          </w:p>
        </w:tc>
        <w:tc>
          <w:tcPr>
            <w:tcW w:w="1054" w:type="pct"/>
            <w:gridSpan w:val="2"/>
            <w:vMerge w:val="restart"/>
            <w:noWrap/>
            <w:vAlign w:val="center"/>
          </w:tcPr>
          <w:p w14:paraId="78E9988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彩票代销者进行虚假性、误导性宣传。</w:t>
            </w:r>
          </w:p>
        </w:tc>
        <w:tc>
          <w:tcPr>
            <w:tcW w:w="940" w:type="pct"/>
            <w:vMerge w:val="restart"/>
            <w:noWrap/>
            <w:vAlign w:val="center"/>
          </w:tcPr>
          <w:p w14:paraId="2DACBE1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《彩票管理条例》第十八条第一项：彩票发行机构、彩票销售机构、彩票代销者不得有下列行为：</w:t>
            </w:r>
          </w:p>
          <w:p w14:paraId="65365B9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（一）进行虚假性、误导性宣传。</w:t>
            </w:r>
          </w:p>
        </w:tc>
        <w:tc>
          <w:tcPr>
            <w:tcW w:w="929" w:type="pct"/>
            <w:vMerge w:val="restart"/>
            <w:noWrap/>
            <w:vAlign w:val="center"/>
          </w:tcPr>
          <w:p w14:paraId="0D526BE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《彩票管理条例》第四十一条第一款第二项：彩票代销者有下列行为之一的，由民政部门、体育行政部门责令改正，处2</w:t>
            </w:r>
            <w:r>
              <w:rPr>
                <w:rFonts w:hAnsi="宋体" w:cs="宋体"/>
                <w:color w:val="000000" w:themeColor="text1"/>
                <w:kern w:val="0"/>
                <w:sz w:val="21"/>
                <w:szCs w:val="21"/>
                <w14:textFill>
                  <w14:solidFill>
                    <w14:schemeClr w14:val="tx1"/>
                  </w14:solidFill>
                </w14:textFill>
              </w:rPr>
              <w:t>000</w:t>
            </w:r>
            <w:r>
              <w:rPr>
                <w:rFonts w:hint="eastAsia" w:hAnsi="宋体" w:cs="宋体"/>
                <w:color w:val="000000" w:themeColor="text1"/>
                <w:kern w:val="0"/>
                <w:sz w:val="21"/>
                <w:szCs w:val="21"/>
                <w14:textFill>
                  <w14:solidFill>
                    <w14:schemeClr w14:val="tx1"/>
                  </w14:solidFill>
                </w14:textFill>
              </w:rPr>
              <w:t>元以上1万元以下罚款；有违法所得的，没收违法所得：</w:t>
            </w:r>
          </w:p>
          <w:p w14:paraId="7BEE53B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w:t>
            </w:r>
            <w:r>
              <w:rPr>
                <w:rFonts w:hint="eastAsia" w:hAnsi="宋体" w:cs="宋体"/>
                <w:color w:val="000000" w:themeColor="text1"/>
                <w:kern w:val="0"/>
                <w:sz w:val="21"/>
                <w:szCs w:val="21"/>
                <w14:textFill>
                  <w14:solidFill>
                    <w14:schemeClr w14:val="tx1"/>
                  </w14:solidFill>
                </w14:textFill>
              </w:rPr>
              <w:br w:type="page"/>
            </w:r>
          </w:p>
          <w:p w14:paraId="52A8F4C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（二）进行虚假性、误导性宣传的。</w:t>
            </w:r>
            <w:r>
              <w:rPr>
                <w:rFonts w:hint="eastAsia" w:hAnsi="宋体" w:cs="宋体"/>
                <w:color w:val="000000" w:themeColor="text1"/>
                <w:kern w:val="0"/>
                <w:sz w:val="21"/>
                <w:szCs w:val="21"/>
                <w14:textFill>
                  <w14:solidFill>
                    <w14:schemeClr w14:val="tx1"/>
                  </w14:solidFill>
                </w14:textFill>
              </w:rPr>
              <w:br w:type="page"/>
            </w:r>
          </w:p>
          <w:p w14:paraId="05504BD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384A2C8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50F53FD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仅在口头上进行虚假性、误导性宣传。</w:t>
            </w:r>
          </w:p>
        </w:tc>
        <w:tc>
          <w:tcPr>
            <w:tcW w:w="612" w:type="pct"/>
            <w:noWrap/>
            <w:vAlign w:val="center"/>
          </w:tcPr>
          <w:p w14:paraId="7D97FA3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处两千元以上不超过五千元罚款，没收违法所得。</w:t>
            </w:r>
          </w:p>
        </w:tc>
      </w:tr>
      <w:tr w14:paraId="329D0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5260E69F">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4CDE1F39">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CC6F55E">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E726B8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B5EE2D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62376EF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在自己销售场所内进行虚假性、误导性书面宣传。</w:t>
            </w:r>
          </w:p>
        </w:tc>
        <w:tc>
          <w:tcPr>
            <w:tcW w:w="612" w:type="pct"/>
            <w:noWrap/>
            <w:vAlign w:val="center"/>
          </w:tcPr>
          <w:p w14:paraId="44100A4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处五千元以上不超过八千元罚款，没收违法所得。</w:t>
            </w:r>
          </w:p>
        </w:tc>
      </w:tr>
      <w:tr w14:paraId="7026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6FDE5B01">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49B7504C">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2913F8A4">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B08D2DD">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C5A777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452B58F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在自己销售场所外或者网络上进行虚假性、误导性书面宣传。</w:t>
            </w:r>
          </w:p>
        </w:tc>
        <w:tc>
          <w:tcPr>
            <w:tcW w:w="612" w:type="pct"/>
            <w:noWrap/>
            <w:vAlign w:val="center"/>
          </w:tcPr>
          <w:p w14:paraId="251F30D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处八千元以上一万元以下罚款，没收违法所得。</w:t>
            </w:r>
          </w:p>
        </w:tc>
      </w:tr>
      <w:tr w14:paraId="654D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restart"/>
            <w:noWrap/>
            <w:vAlign w:val="center"/>
          </w:tcPr>
          <w:p w14:paraId="0BBAB34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90</w:t>
            </w:r>
          </w:p>
        </w:tc>
        <w:tc>
          <w:tcPr>
            <w:tcW w:w="1054" w:type="pct"/>
            <w:gridSpan w:val="2"/>
            <w:vMerge w:val="restart"/>
            <w:noWrap/>
            <w:vAlign w:val="center"/>
          </w:tcPr>
          <w:p w14:paraId="518B0CE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彩票代销者以诋毁同业者等手段进行不正当竞争。</w:t>
            </w:r>
          </w:p>
        </w:tc>
        <w:tc>
          <w:tcPr>
            <w:tcW w:w="940" w:type="pct"/>
            <w:vMerge w:val="restart"/>
            <w:noWrap/>
            <w:vAlign w:val="center"/>
          </w:tcPr>
          <w:p w14:paraId="65C666C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《彩票管理条例》第十八条第二项：彩票发行机构、彩票销售机构、彩票代销者不得有下列行为：</w:t>
            </w:r>
          </w:p>
          <w:p w14:paraId="5C7BF33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25F45DA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（二）以诋毁同业者等手段进行不正当竞争。</w:t>
            </w:r>
          </w:p>
        </w:tc>
        <w:tc>
          <w:tcPr>
            <w:tcW w:w="929" w:type="pct"/>
            <w:vMerge w:val="restart"/>
            <w:noWrap/>
            <w:vAlign w:val="center"/>
          </w:tcPr>
          <w:p w14:paraId="21FFFC4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《彩票管理条例》第四十一条第一款第三项：彩票代销者有下列行为之一的，由民政部门、体育行政部门责令改正，处2</w:t>
            </w:r>
            <w:r>
              <w:rPr>
                <w:rFonts w:hAnsi="宋体" w:cs="宋体"/>
                <w:color w:val="000000" w:themeColor="text1"/>
                <w:kern w:val="0"/>
                <w:sz w:val="21"/>
                <w:szCs w:val="21"/>
                <w14:textFill>
                  <w14:solidFill>
                    <w14:schemeClr w14:val="tx1"/>
                  </w14:solidFill>
                </w14:textFill>
              </w:rPr>
              <w:t>000</w:t>
            </w:r>
            <w:r>
              <w:rPr>
                <w:rFonts w:hint="eastAsia" w:hAnsi="宋体" w:cs="宋体"/>
                <w:color w:val="000000" w:themeColor="text1"/>
                <w:kern w:val="0"/>
                <w:sz w:val="21"/>
                <w:szCs w:val="21"/>
                <w14:textFill>
                  <w14:solidFill>
                    <w14:schemeClr w14:val="tx1"/>
                  </w14:solidFill>
                </w14:textFill>
              </w:rPr>
              <w:t>元以上1万元以下罚款；有违法所得的，没收违法所得：</w:t>
            </w:r>
          </w:p>
          <w:p w14:paraId="200AB5F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1F53B0D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（三）以诋毁同业者等手段进行不正当竞争的。</w:t>
            </w:r>
          </w:p>
          <w:p w14:paraId="2BCF01E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6F4112B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63E0DAD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仅在自己销售场所内以口头诋毁等手段进行不正当竞争。</w:t>
            </w:r>
          </w:p>
        </w:tc>
        <w:tc>
          <w:tcPr>
            <w:tcW w:w="612" w:type="pct"/>
            <w:noWrap/>
            <w:vAlign w:val="center"/>
          </w:tcPr>
          <w:p w14:paraId="5C99C60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处两千元以上不超过五千元罚款，没收违法所得。</w:t>
            </w:r>
          </w:p>
        </w:tc>
      </w:tr>
      <w:tr w14:paraId="0879D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494DA899">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4AACCA53">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3330E2EB">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5968328">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B66A02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4D5E560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在自己销售场所内以书面诋毁等手段进行不正当竞争。</w:t>
            </w:r>
          </w:p>
        </w:tc>
        <w:tc>
          <w:tcPr>
            <w:tcW w:w="612" w:type="pct"/>
            <w:noWrap/>
            <w:vAlign w:val="center"/>
          </w:tcPr>
          <w:p w14:paraId="126CD89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处五千元以上不超过八千元罚款，没收违法所得。</w:t>
            </w:r>
          </w:p>
        </w:tc>
      </w:tr>
      <w:tr w14:paraId="48AB7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14584679">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05DC6B3E">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31687421">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7085E4A">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9FAB31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19CCFCA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在自己销售场所外或者网络上以诋毁等手段进行不正当竞争。</w:t>
            </w:r>
          </w:p>
        </w:tc>
        <w:tc>
          <w:tcPr>
            <w:tcW w:w="612" w:type="pct"/>
            <w:noWrap/>
            <w:vAlign w:val="center"/>
          </w:tcPr>
          <w:p w14:paraId="59FEBA6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处八千元以上一万元以下罚款，没收违法所得。</w:t>
            </w:r>
          </w:p>
        </w:tc>
      </w:tr>
      <w:tr w14:paraId="771C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restart"/>
            <w:noWrap/>
            <w:vAlign w:val="center"/>
          </w:tcPr>
          <w:p w14:paraId="5722E62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91</w:t>
            </w:r>
          </w:p>
        </w:tc>
        <w:tc>
          <w:tcPr>
            <w:tcW w:w="1054" w:type="pct"/>
            <w:gridSpan w:val="2"/>
            <w:vMerge w:val="restart"/>
            <w:noWrap/>
            <w:vAlign w:val="center"/>
          </w:tcPr>
          <w:p w14:paraId="7DE8946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彩票代销者向未成年人销售彩票。</w:t>
            </w:r>
          </w:p>
        </w:tc>
        <w:tc>
          <w:tcPr>
            <w:tcW w:w="940" w:type="pct"/>
            <w:vMerge w:val="restart"/>
            <w:noWrap/>
            <w:vAlign w:val="center"/>
          </w:tcPr>
          <w:p w14:paraId="5FC2472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《彩票管理条例》第十八条第三项：彩票发行机构、彩票销售机构、彩票代销者不得有下列行为：</w:t>
            </w:r>
          </w:p>
          <w:p w14:paraId="7AC466B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760CC4D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（三）向未成年人销售彩票。</w:t>
            </w:r>
          </w:p>
        </w:tc>
        <w:tc>
          <w:tcPr>
            <w:tcW w:w="929" w:type="pct"/>
            <w:vMerge w:val="restart"/>
            <w:noWrap/>
            <w:vAlign w:val="center"/>
          </w:tcPr>
          <w:p w14:paraId="2F13E2E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《彩票管理条例》第四十一条第一款第四项：彩票代销者有下列行为之一的，由民政部门、体育行政部门责令改正，处2</w:t>
            </w:r>
            <w:r>
              <w:rPr>
                <w:rFonts w:hAnsi="宋体" w:cs="宋体"/>
                <w:color w:val="000000" w:themeColor="text1"/>
                <w:kern w:val="0"/>
                <w:sz w:val="21"/>
                <w:szCs w:val="21"/>
                <w14:textFill>
                  <w14:solidFill>
                    <w14:schemeClr w14:val="tx1"/>
                  </w14:solidFill>
                </w14:textFill>
              </w:rPr>
              <w:t>000</w:t>
            </w:r>
            <w:r>
              <w:rPr>
                <w:rFonts w:hint="eastAsia" w:hAnsi="宋体" w:cs="宋体"/>
                <w:color w:val="000000" w:themeColor="text1"/>
                <w:kern w:val="0"/>
                <w:sz w:val="21"/>
                <w:szCs w:val="21"/>
                <w14:textFill>
                  <w14:solidFill>
                    <w14:schemeClr w14:val="tx1"/>
                  </w14:solidFill>
                </w14:textFill>
              </w:rPr>
              <w:t>元以上1万元以下罚款；有违法所得的，没收违法所得：</w:t>
            </w:r>
          </w:p>
          <w:p w14:paraId="0081D4E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15BD5C7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（四）向未成年人销售彩票的。</w:t>
            </w:r>
          </w:p>
          <w:p w14:paraId="393B49C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1493329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5B7AED8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向未成年人销售彩票的，销售金额不超过二千元。</w:t>
            </w:r>
          </w:p>
        </w:tc>
        <w:tc>
          <w:tcPr>
            <w:tcW w:w="612" w:type="pct"/>
            <w:noWrap/>
            <w:vAlign w:val="center"/>
          </w:tcPr>
          <w:p w14:paraId="677D197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处两千元以上不超过五千元罚款，没收违法所得。</w:t>
            </w:r>
          </w:p>
        </w:tc>
      </w:tr>
      <w:tr w14:paraId="193A7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6B39BEED">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80E773F">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69C63DB7">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34B2B0F1">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1DBDC4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0417A64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向未成年人销售彩票的，销售金额二千元以上，不超过五千元。</w:t>
            </w:r>
          </w:p>
        </w:tc>
        <w:tc>
          <w:tcPr>
            <w:tcW w:w="612" w:type="pct"/>
            <w:noWrap/>
            <w:vAlign w:val="center"/>
          </w:tcPr>
          <w:p w14:paraId="516948A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处五千元以上不超过八千元罚款，没收违法所得。</w:t>
            </w:r>
          </w:p>
        </w:tc>
      </w:tr>
      <w:tr w14:paraId="01A7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51D4B4A0">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F71C5BA">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685133AF">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3F75A463">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13AFD3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361A819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向未成年人销售彩票的，销售金额在五千元以上。</w:t>
            </w:r>
          </w:p>
        </w:tc>
        <w:tc>
          <w:tcPr>
            <w:tcW w:w="612" w:type="pct"/>
            <w:noWrap/>
            <w:vAlign w:val="center"/>
          </w:tcPr>
          <w:p w14:paraId="0582A97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处八千元以上一万元以下罚款，没收违法所得。</w:t>
            </w:r>
          </w:p>
        </w:tc>
      </w:tr>
      <w:tr w14:paraId="31B3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restart"/>
            <w:noWrap/>
            <w:vAlign w:val="center"/>
          </w:tcPr>
          <w:p w14:paraId="57956FC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92</w:t>
            </w:r>
          </w:p>
        </w:tc>
        <w:tc>
          <w:tcPr>
            <w:tcW w:w="1054" w:type="pct"/>
            <w:gridSpan w:val="2"/>
            <w:vMerge w:val="restart"/>
            <w:noWrap/>
            <w:vAlign w:val="center"/>
          </w:tcPr>
          <w:p w14:paraId="7FED0EE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彩票代销者以赊销或者信用方式销售彩票。</w:t>
            </w:r>
          </w:p>
        </w:tc>
        <w:tc>
          <w:tcPr>
            <w:tcW w:w="940" w:type="pct"/>
            <w:vMerge w:val="restart"/>
            <w:noWrap/>
            <w:vAlign w:val="center"/>
          </w:tcPr>
          <w:p w14:paraId="317FC16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《彩票管理条例》第十八条第四项：彩票发行机构、彩票销售机构、彩票代销者不得有下列行为：</w:t>
            </w:r>
          </w:p>
          <w:p w14:paraId="2763BE0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4F152B4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（四）以赊销或者信用方式销售彩票。</w:t>
            </w:r>
          </w:p>
        </w:tc>
        <w:tc>
          <w:tcPr>
            <w:tcW w:w="929" w:type="pct"/>
            <w:vMerge w:val="restart"/>
            <w:noWrap/>
            <w:vAlign w:val="center"/>
          </w:tcPr>
          <w:p w14:paraId="3F3923F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《彩票管理条例》第四十一条第一款第五项：彩票代销者有下列行为之一的，由民政部门、体育行政部门责令改正，处2</w:t>
            </w:r>
            <w:r>
              <w:rPr>
                <w:rFonts w:hAnsi="宋体" w:cs="宋体"/>
                <w:color w:val="000000" w:themeColor="text1"/>
                <w:kern w:val="0"/>
                <w:sz w:val="21"/>
                <w:szCs w:val="21"/>
                <w14:textFill>
                  <w14:solidFill>
                    <w14:schemeClr w14:val="tx1"/>
                  </w14:solidFill>
                </w14:textFill>
              </w:rPr>
              <w:t>000</w:t>
            </w:r>
            <w:r>
              <w:rPr>
                <w:rFonts w:hint="eastAsia" w:hAnsi="宋体" w:cs="宋体"/>
                <w:color w:val="000000" w:themeColor="text1"/>
                <w:kern w:val="0"/>
                <w:sz w:val="21"/>
                <w:szCs w:val="21"/>
                <w14:textFill>
                  <w14:solidFill>
                    <w14:schemeClr w14:val="tx1"/>
                  </w14:solidFill>
                </w14:textFill>
              </w:rPr>
              <w:t>元以上1万元以下罚款；有违法所得的，没收违法所得：</w:t>
            </w:r>
          </w:p>
          <w:p w14:paraId="5C9111F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3CA75EF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（五）以赊销或者信用方式销售彩票的。</w:t>
            </w:r>
          </w:p>
          <w:p w14:paraId="34EEAE9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2726DBE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212120B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以赊销或者信用方式销售彩票金额累计不超过五千元。</w:t>
            </w:r>
          </w:p>
        </w:tc>
        <w:tc>
          <w:tcPr>
            <w:tcW w:w="612" w:type="pct"/>
            <w:noWrap/>
            <w:vAlign w:val="center"/>
          </w:tcPr>
          <w:p w14:paraId="6DA4799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处两千元以上不超过五千元罚款，没收违法所得。</w:t>
            </w:r>
          </w:p>
        </w:tc>
      </w:tr>
      <w:tr w14:paraId="11C8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518B730F">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5B73B2A9">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050769AB">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49F7321">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67AB30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294CD52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以赊销或者信用方式销售彩票金额累计五千元以上不超过一万元。</w:t>
            </w:r>
          </w:p>
        </w:tc>
        <w:tc>
          <w:tcPr>
            <w:tcW w:w="612" w:type="pct"/>
            <w:noWrap/>
            <w:vAlign w:val="center"/>
          </w:tcPr>
          <w:p w14:paraId="62DBECF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处五千元以上不超过八千元罚款，没收违法所得。</w:t>
            </w:r>
          </w:p>
        </w:tc>
      </w:tr>
      <w:tr w14:paraId="1FC90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64E7B79E">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62945919">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1BCDC6CF">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515C91D">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2B40BC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09B2108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以赊销或者信用方式销售彩票金额累计一万元以上。</w:t>
            </w:r>
          </w:p>
        </w:tc>
        <w:tc>
          <w:tcPr>
            <w:tcW w:w="612" w:type="pct"/>
            <w:noWrap/>
            <w:vAlign w:val="center"/>
          </w:tcPr>
          <w:p w14:paraId="1333184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处八千元以上一万元以下罚款，没收违法所得。</w:t>
            </w:r>
          </w:p>
        </w:tc>
      </w:tr>
      <w:tr w14:paraId="2C14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exact"/>
          <w:jc w:val="center"/>
        </w:trPr>
        <w:tc>
          <w:tcPr>
            <w:tcW w:w="5000" w:type="pct"/>
            <w:gridSpan w:val="8"/>
            <w:noWrap/>
            <w:vAlign w:val="center"/>
          </w:tcPr>
          <w:p w14:paraId="12FD2A84">
            <w:pPr>
              <w:adjustRightInd w:val="0"/>
              <w:snapToGrid w:val="0"/>
              <w:rPr>
                <w:rFonts w:ascii="黑体" w:hAnsi="黑体" w:eastAsia="黑体" w:cs="宋体"/>
                <w:color w:val="000000" w:themeColor="text1"/>
                <w:kern w:val="0"/>
                <w:sz w:val="21"/>
                <w:szCs w:val="21"/>
                <w14:textFill>
                  <w14:solidFill>
                    <w14:schemeClr w14:val="tx1"/>
                  </w14:solidFill>
                </w14:textFill>
              </w:rPr>
            </w:pPr>
            <w:r>
              <w:rPr>
                <w:rFonts w:hint="eastAsia" w:ascii="黑体" w:hAnsi="黑体" w:eastAsia="黑体" w:cs="宋体"/>
                <w:color w:val="000000" w:themeColor="text1"/>
                <w:kern w:val="0"/>
                <w:sz w:val="21"/>
                <w:szCs w:val="21"/>
                <w14:textFill>
                  <w14:solidFill>
                    <w14:schemeClr w14:val="tx1"/>
                  </w14:solidFill>
                </w14:textFill>
              </w:rPr>
              <w:t>八、行政区域界线管理工作</w:t>
            </w:r>
          </w:p>
        </w:tc>
      </w:tr>
      <w:tr w14:paraId="11A3E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51" w:hRule="exact"/>
          <w:jc w:val="center"/>
        </w:trPr>
        <w:tc>
          <w:tcPr>
            <w:tcW w:w="197" w:type="pct"/>
            <w:vMerge w:val="restart"/>
            <w:noWrap/>
            <w:vAlign w:val="center"/>
          </w:tcPr>
          <w:p w14:paraId="4E51AB6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93</w:t>
            </w:r>
          </w:p>
        </w:tc>
        <w:tc>
          <w:tcPr>
            <w:tcW w:w="1054" w:type="pct"/>
            <w:gridSpan w:val="2"/>
            <w:vMerge w:val="restart"/>
            <w:noWrap/>
            <w:vAlign w:val="center"/>
          </w:tcPr>
          <w:p w14:paraId="7EF75D0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故意损毁或者擅自移动界桩或者其他行政区域界线标志物。</w:t>
            </w:r>
          </w:p>
        </w:tc>
        <w:tc>
          <w:tcPr>
            <w:tcW w:w="940" w:type="pct"/>
            <w:vMerge w:val="restart"/>
            <w:noWrap/>
            <w:vAlign w:val="center"/>
          </w:tcPr>
          <w:p w14:paraId="1FBDACA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《行政区域界线管理条例》</w:t>
            </w:r>
          </w:p>
          <w:p w14:paraId="2648F21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第六条：任何组织或者个人不得擅自移动或者损坏界桩。非法移动界桩的，其行为无效。</w:t>
            </w:r>
          </w:p>
          <w:p w14:paraId="65E4B47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七条：行政区域界线毗邻的任何一方不得擅自改变作为行政区域界线标志的河流、沟渠、道路等线状地物；因自然原因或者其他原因改变的，应当保持行政区域界线协议书划定的界线位置不变，行政区域界线协议书中另有约定的除外。</w:t>
            </w:r>
          </w:p>
          <w:p w14:paraId="1522A18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八条：行政区域界线协议书中明确规定作为指示行政区域界线走向的其他标志物，应当维持原貌。因自然原因或者其他原因使标志物发生变化的，有关县级以上人民政府民政部门应当组织修测，确定新的标志物，并报该行政区域界线的批准机关备案。</w:t>
            </w:r>
          </w:p>
        </w:tc>
        <w:tc>
          <w:tcPr>
            <w:tcW w:w="929" w:type="pct"/>
            <w:vMerge w:val="restart"/>
            <w:noWrap/>
            <w:vAlign w:val="center"/>
          </w:tcPr>
          <w:p w14:paraId="503DF4F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行政区域界线管理条例》第十七条：违反本条例的规定，故意损毁或者擅自移动界桩或者其他行政区域界线标志物的，应当支付修复标志物的费用，并由所在地负责管理该行政区域界线标志的人民政府民政部门处一千元以下的罚款；构成违反治安管理行为的，并依法给予治安管理处罚。</w:t>
            </w:r>
          </w:p>
        </w:tc>
        <w:tc>
          <w:tcPr>
            <w:tcW w:w="237" w:type="pct"/>
            <w:noWrap/>
            <w:vAlign w:val="center"/>
          </w:tcPr>
          <w:p w14:paraId="4D68F4A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48FE6F2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故意损毁或者擅自移动界桩或者其他行政区域界线标志物，致使界桩棱角、文字遭到简单破坏，但没有影响界桩或者其他行政区域界线标志物的实地位置和界桩桩体文字内容辨认。</w:t>
            </w:r>
          </w:p>
        </w:tc>
        <w:tc>
          <w:tcPr>
            <w:tcW w:w="612" w:type="pct"/>
            <w:noWrap/>
            <w:vAlign w:val="center"/>
          </w:tcPr>
          <w:p w14:paraId="47F64C3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处五百元以下的罚款。</w:t>
            </w:r>
          </w:p>
        </w:tc>
      </w:tr>
      <w:tr w14:paraId="33228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51" w:hRule="exact"/>
          <w:jc w:val="center"/>
        </w:trPr>
        <w:tc>
          <w:tcPr>
            <w:tcW w:w="197" w:type="pct"/>
            <w:vMerge w:val="continue"/>
            <w:vAlign w:val="center"/>
          </w:tcPr>
          <w:p w14:paraId="115F1879">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5662E067">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2FAE9352">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1E70AB7A">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3E589B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576C8C1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故意损毁或者擅自移动界桩或者其他行政区域界线标志物，致使界桩断裂或者其他行政区域界线标志物不易辨认、部分消失、整体倾斜、倒在原地，可在原地修复或原地重新树立。</w:t>
            </w:r>
          </w:p>
        </w:tc>
        <w:tc>
          <w:tcPr>
            <w:tcW w:w="612" w:type="pct"/>
            <w:noWrap/>
            <w:vAlign w:val="center"/>
          </w:tcPr>
          <w:p w14:paraId="69258E0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处五百元以上不超过八百元的罚款。</w:t>
            </w:r>
          </w:p>
        </w:tc>
      </w:tr>
      <w:tr w14:paraId="7BB11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51" w:hRule="exact"/>
          <w:jc w:val="center"/>
        </w:trPr>
        <w:tc>
          <w:tcPr>
            <w:tcW w:w="197" w:type="pct"/>
            <w:vMerge w:val="continue"/>
            <w:vAlign w:val="center"/>
          </w:tcPr>
          <w:p w14:paraId="23289B2A">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3114B47F">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A29109D">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097B767">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EB979A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5663175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故意损毁或者擅自移动界桩或者其他行政区域界线标志物，致使界桩完全损坏或者其他行政区域界线标志物完全消失，须重新测定原界桩或者其他行政区域界线标志物的具体位置并重新树立。</w:t>
            </w:r>
          </w:p>
        </w:tc>
        <w:tc>
          <w:tcPr>
            <w:tcW w:w="612" w:type="pct"/>
            <w:noWrap/>
            <w:vAlign w:val="center"/>
          </w:tcPr>
          <w:p w14:paraId="17FC126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处八百元以上一千元以下的罚款。</w:t>
            </w:r>
          </w:p>
        </w:tc>
      </w:tr>
      <w:tr w14:paraId="3F86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restart"/>
            <w:noWrap/>
            <w:vAlign w:val="center"/>
          </w:tcPr>
          <w:p w14:paraId="386635E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94</w:t>
            </w:r>
          </w:p>
        </w:tc>
        <w:tc>
          <w:tcPr>
            <w:tcW w:w="1054" w:type="pct"/>
            <w:gridSpan w:val="2"/>
            <w:vMerge w:val="restart"/>
            <w:noWrap/>
            <w:vAlign w:val="center"/>
          </w:tcPr>
          <w:p w14:paraId="2CC2961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擅自编制行政区域界线详图，或者绘制的地图的行政区域界线的画法与行政区域界线详图的画法不一致。</w:t>
            </w:r>
          </w:p>
        </w:tc>
        <w:tc>
          <w:tcPr>
            <w:tcW w:w="940" w:type="pct"/>
            <w:vMerge w:val="restart"/>
            <w:noWrap/>
            <w:vAlign w:val="center"/>
          </w:tcPr>
          <w:p w14:paraId="315C01A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《行政区域界线管理条例》第十四条：行政区域界线详图是反映县级以上行政区域界线标准画法的国家专题地图。任何涉及行政区域界线的地图，其行政区域界线画法一律以行政区域界线详图为准绘制。</w:t>
            </w:r>
          </w:p>
        </w:tc>
        <w:tc>
          <w:tcPr>
            <w:tcW w:w="929" w:type="pct"/>
            <w:vMerge w:val="restart"/>
            <w:noWrap/>
            <w:vAlign w:val="center"/>
          </w:tcPr>
          <w:p w14:paraId="047B757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行政区域界线管理条例》第十八条：违反本条例的规定，擅自编制行政区域界线详图，或者绘制的地图的行政区域界线的画法与行政区域界线详图的画法不一致的，由有关人民政府民政部门责令停止违法行为，没收违法编制的行政区域界线详图和违法所得，并处一万元以下的罚款。</w:t>
            </w:r>
          </w:p>
        </w:tc>
        <w:tc>
          <w:tcPr>
            <w:tcW w:w="237" w:type="pct"/>
            <w:noWrap/>
            <w:vAlign w:val="center"/>
          </w:tcPr>
          <w:p w14:paraId="2E2F156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3A7352A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擅自编制行政区域界线详图，或者绘制的地图的行政区域界线的画法与行政区域界线详图的画法不一致，没有违法所得。</w:t>
            </w:r>
          </w:p>
        </w:tc>
        <w:tc>
          <w:tcPr>
            <w:tcW w:w="612" w:type="pct"/>
            <w:noWrap/>
            <w:vAlign w:val="center"/>
          </w:tcPr>
          <w:p w14:paraId="381B8FE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没收违法编制的行政区域界线详图。</w:t>
            </w:r>
          </w:p>
        </w:tc>
      </w:tr>
      <w:tr w14:paraId="2E89A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35CAEB18">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37725EC7">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3CD5E334">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2E2C070">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BF242F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1217C9D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擅自编制行政区域界线详图，或者绘制的地图的行政区域界线的画法与行政区域界线详图的画法不一致的，违法所得在五千元以下。</w:t>
            </w:r>
          </w:p>
        </w:tc>
        <w:tc>
          <w:tcPr>
            <w:tcW w:w="612" w:type="pct"/>
            <w:noWrap/>
            <w:vAlign w:val="center"/>
          </w:tcPr>
          <w:p w14:paraId="15DC395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没收违法编制的行政区域界线详图和违法所得，并处不超过五千元的罚款。</w:t>
            </w:r>
          </w:p>
        </w:tc>
      </w:tr>
      <w:tr w14:paraId="6D8FE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6BA7B5B6">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372261D1">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19AE7ED">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7D5CA1D">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76E860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5BA74D5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擅自编制行政区域界线详图，或者绘制的地图的行政区域界线的画法与行政区域界线详图的画法不一致的，违法所得五千元以上。</w:t>
            </w:r>
          </w:p>
        </w:tc>
        <w:tc>
          <w:tcPr>
            <w:tcW w:w="612" w:type="pct"/>
            <w:noWrap/>
            <w:vAlign w:val="center"/>
          </w:tcPr>
          <w:p w14:paraId="619B6E1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没收违法编制的行政区域界线详图和违法所得，并处五千元以上一万元以下的罚款。</w:t>
            </w:r>
          </w:p>
        </w:tc>
      </w:tr>
      <w:tr w14:paraId="0655E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exact"/>
          <w:jc w:val="center"/>
        </w:trPr>
        <w:tc>
          <w:tcPr>
            <w:tcW w:w="5000" w:type="pct"/>
            <w:gridSpan w:val="8"/>
            <w:noWrap/>
            <w:vAlign w:val="center"/>
          </w:tcPr>
          <w:p w14:paraId="09936663">
            <w:pPr>
              <w:adjustRightInd w:val="0"/>
              <w:snapToGrid w:val="0"/>
              <w:rPr>
                <w:rFonts w:ascii="黑体" w:hAnsi="黑体" w:eastAsia="黑体" w:cs="宋体"/>
                <w:color w:val="000000" w:themeColor="text1"/>
                <w:kern w:val="0"/>
                <w:sz w:val="21"/>
                <w:szCs w:val="21"/>
                <w14:textFill>
                  <w14:solidFill>
                    <w14:schemeClr w14:val="tx1"/>
                  </w14:solidFill>
                </w14:textFill>
              </w:rPr>
            </w:pPr>
            <w:r>
              <w:rPr>
                <w:rFonts w:hint="eastAsia" w:ascii="黑体" w:hAnsi="黑体" w:eastAsia="黑体" w:cs="宋体"/>
                <w:color w:val="000000" w:themeColor="text1"/>
                <w:kern w:val="0"/>
                <w:sz w:val="21"/>
                <w:szCs w:val="21"/>
                <w14:textFill>
                  <w14:solidFill>
                    <w14:schemeClr w14:val="tx1"/>
                  </w14:solidFill>
                </w14:textFill>
              </w:rPr>
              <w:t>九、地名管理工作</w:t>
            </w:r>
          </w:p>
        </w:tc>
      </w:tr>
      <w:tr w14:paraId="43CC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565" w:hRule="atLeast"/>
          <w:jc w:val="center"/>
        </w:trPr>
        <w:tc>
          <w:tcPr>
            <w:tcW w:w="197" w:type="pct"/>
            <w:noWrap/>
            <w:vAlign w:val="center"/>
          </w:tcPr>
          <w:p w14:paraId="4985AA9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95</w:t>
            </w:r>
          </w:p>
        </w:tc>
        <w:tc>
          <w:tcPr>
            <w:tcW w:w="1054" w:type="pct"/>
            <w:gridSpan w:val="2"/>
            <w:noWrap/>
            <w:vAlign w:val="center"/>
          </w:tcPr>
          <w:p w14:paraId="4665245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擅自进行地名命名、更名。</w:t>
            </w:r>
          </w:p>
        </w:tc>
        <w:tc>
          <w:tcPr>
            <w:tcW w:w="940" w:type="pct"/>
            <w:noWrap/>
            <w:vAlign w:val="center"/>
          </w:tcPr>
          <w:p w14:paraId="0DC41EEA">
            <w:pPr>
              <w:adjustRightInd w:val="0"/>
              <w:snapToGrid w:val="0"/>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地名管理条例》第四条：地名管理应当坚持和加强党的领导。县级以上行政区划命名、更名，以及地名的命名、更名、使用涉及国家领土主权、安全、外交、国防等重大事项的，应当按照有关规定报党中央。地名管理应当有利于维护国家主权和民族团结，有利于弘扬社会主义核心价值观，有利于推进国家治理体系和治理能力现代化，有利于传承发展中华优秀文化。地名应当保持相对稳定。未经批准，任何单位和个人不得擅自决定对地名进行命名、更名。</w:t>
            </w:r>
          </w:p>
          <w:p w14:paraId="6A596035">
            <w:pPr>
              <w:adjustRightInd w:val="0"/>
              <w:snapToGrid w:val="0"/>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第九条：地名由专名和通名两部分组成。地名的命名应当遵循下列规定：</w:t>
            </w:r>
          </w:p>
          <w:p w14:paraId="43C49418">
            <w:pPr>
              <w:adjustRightInd w:val="0"/>
              <w:snapToGrid w:val="0"/>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（一）含义明确、健康，不违背公序良俗；</w:t>
            </w:r>
          </w:p>
          <w:p w14:paraId="7645E563">
            <w:pPr>
              <w:adjustRightInd w:val="0"/>
              <w:snapToGrid w:val="0"/>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（二）符合地理实体的实际地域、规模、性质等特征；</w:t>
            </w:r>
          </w:p>
          <w:p w14:paraId="4E3E8735">
            <w:pPr>
              <w:adjustRightInd w:val="0"/>
              <w:snapToGrid w:val="0"/>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（三）使用国家通用语言文字，避免使用生僻字；</w:t>
            </w:r>
          </w:p>
          <w:p w14:paraId="3B0F0AB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（四）一般不以人名作地名，不以国家领导人的名字作地名；</w:t>
            </w:r>
          </w:p>
        </w:tc>
        <w:tc>
          <w:tcPr>
            <w:tcW w:w="929" w:type="pct"/>
            <w:noWrap/>
            <w:vAlign w:val="center"/>
          </w:tcPr>
          <w:p w14:paraId="4E0ECB0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《地名管理条例》第三十六条：违反本条例第四条、第九条、第十条、第十二条规定，擅自进行地名命名、更名的，由有审批权的行政机关责令限期改正；逾期不改正的，予以取缔，并对违法单位通报批评。</w:t>
            </w:r>
          </w:p>
        </w:tc>
        <w:tc>
          <w:tcPr>
            <w:tcW w:w="237" w:type="pct"/>
            <w:noWrap/>
            <w:vAlign w:val="center"/>
          </w:tcPr>
          <w:p w14:paraId="53B88EA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noWrap/>
            <w:vAlign w:val="center"/>
          </w:tcPr>
          <w:p w14:paraId="53D455A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逾期不改正。</w:t>
            </w:r>
          </w:p>
        </w:tc>
        <w:tc>
          <w:tcPr>
            <w:tcW w:w="612" w:type="pct"/>
            <w:noWrap/>
            <w:vAlign w:val="center"/>
          </w:tcPr>
          <w:p w14:paraId="3E47C4E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通报批评。</w:t>
            </w:r>
          </w:p>
        </w:tc>
      </w:tr>
      <w:tr w14:paraId="3E49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152" w:hRule="atLeast"/>
          <w:jc w:val="center"/>
        </w:trPr>
        <w:tc>
          <w:tcPr>
            <w:tcW w:w="197" w:type="pct"/>
            <w:vAlign w:val="center"/>
          </w:tcPr>
          <w:p w14:paraId="7E89CBB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95</w:t>
            </w:r>
          </w:p>
        </w:tc>
        <w:tc>
          <w:tcPr>
            <w:tcW w:w="1054" w:type="pct"/>
            <w:gridSpan w:val="2"/>
            <w:vAlign w:val="center"/>
          </w:tcPr>
          <w:p w14:paraId="6C6C2A0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擅自进行地名命名、更名。</w:t>
            </w:r>
          </w:p>
        </w:tc>
        <w:tc>
          <w:tcPr>
            <w:tcW w:w="940" w:type="pct"/>
            <w:vAlign w:val="center"/>
          </w:tcPr>
          <w:p w14:paraId="6DFFF173">
            <w:pPr>
              <w:adjustRightInd w:val="0"/>
              <w:snapToGrid w:val="0"/>
              <w:spacing w:line="250" w:lineRule="exact"/>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（五）不以外国人名、地名作地名；</w:t>
            </w:r>
          </w:p>
          <w:p w14:paraId="46A47C60">
            <w:pPr>
              <w:adjustRightInd w:val="0"/>
              <w:snapToGrid w:val="0"/>
              <w:spacing w:line="250" w:lineRule="exact"/>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（六）不以企业名称或者商标名称作地名；</w:t>
            </w:r>
          </w:p>
          <w:p w14:paraId="69DC1BC8">
            <w:pPr>
              <w:adjustRightInd w:val="0"/>
              <w:snapToGrid w:val="0"/>
              <w:spacing w:line="250" w:lineRule="exact"/>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（七）国内著名的自然地理实体名称，全国范围内的县级以上行政区划名称，不应重名，并避免同音；</w:t>
            </w:r>
          </w:p>
          <w:p w14:paraId="2B47E964">
            <w:pPr>
              <w:adjustRightInd w:val="0"/>
              <w:snapToGrid w:val="0"/>
              <w:spacing w:line="250" w:lineRule="exact"/>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八）同一个省级行政区域内的乡、镇名称，同一个县级行政区域内的村民委员会、居民委员会所在地名称，同一个建成区内的街路巷名称，同一个建成区内的具有重要地理方位意义的住宅区、楼宇名称，不应重名，并避免同音；</w:t>
            </w:r>
          </w:p>
          <w:p w14:paraId="1439D940">
            <w:pPr>
              <w:adjustRightInd w:val="0"/>
              <w:snapToGrid w:val="0"/>
              <w:spacing w:line="250" w:lineRule="exact"/>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（九）不以国内著名的自然地理实体、历史文化遗产遗址、超出本行政区域范围的地理实体名称作行政区划专名；</w:t>
            </w:r>
          </w:p>
          <w:p w14:paraId="728AD03E">
            <w:pPr>
              <w:adjustRightInd w:val="0"/>
              <w:snapToGrid w:val="0"/>
              <w:spacing w:line="250" w:lineRule="exact"/>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（十）具有重要地理方位意义的交通运输、水利、电力、通信、气象等设施名称，一般应当与所在地地名统一。</w:t>
            </w:r>
          </w:p>
          <w:p w14:paraId="3D0656D0">
            <w:pPr>
              <w:adjustRightInd w:val="0"/>
              <w:snapToGrid w:val="0"/>
              <w:spacing w:line="250" w:lineRule="exact"/>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法律、行政法规</w:t>
            </w:r>
            <w:r>
              <w:rPr>
                <w:rFonts w:hint="eastAsia" w:hAnsi="宋体" w:cs="宋体"/>
                <w:color w:val="000000" w:themeColor="text1"/>
                <w:spacing w:val="-11"/>
                <w:kern w:val="0"/>
                <w:sz w:val="21"/>
                <w:szCs w:val="21"/>
                <w14:textFill>
                  <w14:solidFill>
                    <w14:schemeClr w14:val="tx1"/>
                  </w14:solidFill>
                </w14:textFill>
              </w:rPr>
              <w:t>对地名命名规则另有规定的，从其规定。</w:t>
            </w:r>
          </w:p>
          <w:p w14:paraId="5AB100C0">
            <w:pPr>
              <w:adjustRightInd w:val="0"/>
              <w:snapToGrid w:val="0"/>
              <w:spacing w:line="25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第十条：地名依法命名后，因行政区划变更、城乡建设、自然变化等原因导致地名名实不符的，应当及时更名。地名更名应当符合本条例第九条的规定。</w:t>
            </w:r>
          </w:p>
        </w:tc>
        <w:tc>
          <w:tcPr>
            <w:tcW w:w="929" w:type="pct"/>
            <w:vAlign w:val="center"/>
          </w:tcPr>
          <w:p w14:paraId="1D0BE0F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《地名管理条例》第三十六条：违反本条例第四条、第九条、第十条、第十二条规定，擅自进行地名命名、更名的，由有审批权的行政机关责令限期改正；逾期不改正的，予以取缔，并对违法单位通报批评。</w:t>
            </w:r>
          </w:p>
        </w:tc>
        <w:tc>
          <w:tcPr>
            <w:tcW w:w="237" w:type="pct"/>
            <w:vAlign w:val="center"/>
          </w:tcPr>
          <w:p w14:paraId="16183C1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vAlign w:val="center"/>
          </w:tcPr>
          <w:p w14:paraId="32DE030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逾期不改正。</w:t>
            </w:r>
          </w:p>
        </w:tc>
        <w:tc>
          <w:tcPr>
            <w:tcW w:w="612" w:type="pct"/>
            <w:vAlign w:val="center"/>
          </w:tcPr>
          <w:p w14:paraId="0505AB1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通报批评。</w:t>
            </w:r>
          </w:p>
        </w:tc>
      </w:tr>
      <w:tr w14:paraId="53B7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31" w:hRule="atLeast"/>
          <w:jc w:val="center"/>
        </w:trPr>
        <w:tc>
          <w:tcPr>
            <w:tcW w:w="197" w:type="pct"/>
            <w:vAlign w:val="center"/>
          </w:tcPr>
          <w:p w14:paraId="009C25C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95</w:t>
            </w:r>
          </w:p>
        </w:tc>
        <w:tc>
          <w:tcPr>
            <w:tcW w:w="1054" w:type="pct"/>
            <w:gridSpan w:val="2"/>
            <w:vAlign w:val="center"/>
          </w:tcPr>
          <w:p w14:paraId="3EB831F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擅自进行地名命名、更名。</w:t>
            </w:r>
          </w:p>
        </w:tc>
        <w:tc>
          <w:tcPr>
            <w:tcW w:w="940" w:type="pct"/>
            <w:vAlign w:val="center"/>
          </w:tcPr>
          <w:p w14:paraId="6BF92456">
            <w:pPr>
              <w:adjustRightInd w:val="0"/>
              <w:snapToGrid w:val="0"/>
              <w:spacing w:line="250" w:lineRule="exact"/>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具有重要历史文化价值、体现中华历史文脉的地名，一般不得更名。</w:t>
            </w:r>
          </w:p>
          <w:p w14:paraId="61AE02CE">
            <w:pPr>
              <w:adjustRightInd w:val="0"/>
              <w:snapToGrid w:val="0"/>
              <w:spacing w:line="250" w:lineRule="exact"/>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第十二条：批准地名命名、更名应当遵循下列规定：</w:t>
            </w:r>
          </w:p>
          <w:p w14:paraId="05BCAFBF">
            <w:pPr>
              <w:adjustRightInd w:val="0"/>
              <w:snapToGrid w:val="0"/>
              <w:spacing w:line="250" w:lineRule="exact"/>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一）具有重要历史文化价值、体现中华历史文脉以及有重大社会影响的国内著名自然地理实体或者涉及两个省、自治区、直辖市以上的自然地理实体的命名、更名，边境地区涉及国界线走向和海上涉及岛屿、岛礁归属界线以及载入边界条约和议定书中的自然地理实体和村民委员会、居民委员会所在地等居民点的命名、更名，由相关省、自治区、直辖市人民政府提出申请，报国务院批准；无居民海岛、海域、海底地理实体的命名、更名，由国务院自然资源主管部门会同有关部门批准；其他自然地理实体的命名、更名，按照省、自治区、直辖市人民政府的规定批准；</w:t>
            </w:r>
          </w:p>
          <w:p w14:paraId="048DD7DB">
            <w:pPr>
              <w:adjustRightInd w:val="0"/>
              <w:snapToGrid w:val="0"/>
              <w:spacing w:line="250" w:lineRule="exact"/>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（二）行政区划的命名、更名，按照《行政区划管理条例》的规定批准；</w:t>
            </w:r>
          </w:p>
          <w:p w14:paraId="4B0DE046">
            <w:pPr>
              <w:adjustRightInd w:val="0"/>
              <w:snapToGrid w:val="0"/>
              <w:spacing w:line="250" w:lineRule="exact"/>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（三）本条第一项规定以外的村民委员会、居民委员会所在地的命名、更名，按照省、自治区、直辖市人民政府的规定批准；</w:t>
            </w:r>
          </w:p>
        </w:tc>
        <w:tc>
          <w:tcPr>
            <w:tcW w:w="929" w:type="pct"/>
            <w:vAlign w:val="center"/>
          </w:tcPr>
          <w:p w14:paraId="66357AD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《地名管理条例》第三十六条：违反本条例第四条、第九条、第十条、第十二条规定，擅自进行地名命名、更名的，由有审批权的行政机关责令限期改正；逾期不改正的，予以取缔，并对违法单位通报批评。</w:t>
            </w:r>
          </w:p>
        </w:tc>
        <w:tc>
          <w:tcPr>
            <w:tcW w:w="237" w:type="pct"/>
            <w:vAlign w:val="center"/>
          </w:tcPr>
          <w:p w14:paraId="2EF4F16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vAlign w:val="center"/>
          </w:tcPr>
          <w:p w14:paraId="1577ED3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逾期不改正。</w:t>
            </w:r>
          </w:p>
        </w:tc>
        <w:tc>
          <w:tcPr>
            <w:tcW w:w="612" w:type="pct"/>
            <w:vAlign w:val="center"/>
          </w:tcPr>
          <w:p w14:paraId="11CD740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通报批评。</w:t>
            </w:r>
          </w:p>
        </w:tc>
      </w:tr>
      <w:tr w14:paraId="4A677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152" w:hRule="atLeast"/>
          <w:jc w:val="center"/>
        </w:trPr>
        <w:tc>
          <w:tcPr>
            <w:tcW w:w="197" w:type="pct"/>
            <w:vAlign w:val="center"/>
          </w:tcPr>
          <w:p w14:paraId="637BD1B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95</w:t>
            </w:r>
          </w:p>
        </w:tc>
        <w:tc>
          <w:tcPr>
            <w:tcW w:w="1054" w:type="pct"/>
            <w:gridSpan w:val="2"/>
            <w:vAlign w:val="center"/>
          </w:tcPr>
          <w:p w14:paraId="2DFF73B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擅自进行地名命名、更名。</w:t>
            </w:r>
          </w:p>
        </w:tc>
        <w:tc>
          <w:tcPr>
            <w:tcW w:w="940" w:type="pct"/>
            <w:vAlign w:val="center"/>
          </w:tcPr>
          <w:p w14:paraId="178A14F7">
            <w:pPr>
              <w:adjustRightInd w:val="0"/>
              <w:snapToGrid w:val="0"/>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（四）城市公园、自然保护地的命名、更名，按照国家有关规定批准；</w:t>
            </w:r>
          </w:p>
          <w:p w14:paraId="46881B6E">
            <w:pPr>
              <w:adjustRightInd w:val="0"/>
              <w:snapToGrid w:val="0"/>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（五）街路巷的命名、更名，由直辖市、市、县人民政府批准；</w:t>
            </w:r>
          </w:p>
          <w:p w14:paraId="30B61154">
            <w:pPr>
              <w:adjustRightInd w:val="0"/>
              <w:snapToGrid w:val="0"/>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（六）具有重要地理方位意义的住宅区、楼宇的命名、更名，由直辖市、市、县人民政府住房和城乡建设主管部门征求同级人民政府地名行政主管部门的意见后批准；</w:t>
            </w:r>
          </w:p>
          <w:p w14:paraId="781006E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（七）具有重要地理方位意义的交通运输、水利、电力、通信、气象等设施的命名、更名，应当根据情况征求所在地相关县级以上地方人民政府的意见，由有关主管部门批准。</w:t>
            </w:r>
          </w:p>
        </w:tc>
        <w:tc>
          <w:tcPr>
            <w:tcW w:w="929" w:type="pct"/>
            <w:vAlign w:val="center"/>
          </w:tcPr>
          <w:p w14:paraId="4362336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《地名管理条例》第三十六条：违反本条例第四条、第九条、第十条、第十二条规定，擅自进行地名命名、更名的，由有审批权的行政机关责令限期改正；逾期不改正的，予以取缔，并对违法单位通报批评。</w:t>
            </w:r>
          </w:p>
        </w:tc>
        <w:tc>
          <w:tcPr>
            <w:tcW w:w="237" w:type="pct"/>
            <w:vAlign w:val="center"/>
          </w:tcPr>
          <w:p w14:paraId="57FA156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1028" w:type="pct"/>
            <w:vAlign w:val="center"/>
          </w:tcPr>
          <w:p w14:paraId="44343D6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逾期不改正。</w:t>
            </w:r>
          </w:p>
        </w:tc>
        <w:tc>
          <w:tcPr>
            <w:tcW w:w="612" w:type="pct"/>
            <w:vAlign w:val="center"/>
          </w:tcPr>
          <w:p w14:paraId="66D9A77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通报批评。</w:t>
            </w:r>
          </w:p>
        </w:tc>
      </w:tr>
      <w:tr w14:paraId="7E576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701" w:hRule="exact"/>
          <w:jc w:val="center"/>
        </w:trPr>
        <w:tc>
          <w:tcPr>
            <w:tcW w:w="197" w:type="pct"/>
            <w:vMerge w:val="restart"/>
            <w:noWrap/>
            <w:vAlign w:val="center"/>
          </w:tcPr>
          <w:p w14:paraId="2180838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96</w:t>
            </w:r>
          </w:p>
        </w:tc>
        <w:tc>
          <w:tcPr>
            <w:tcW w:w="1054" w:type="pct"/>
            <w:gridSpan w:val="2"/>
            <w:vMerge w:val="restart"/>
            <w:noWrap/>
            <w:vAlign w:val="center"/>
          </w:tcPr>
          <w:p w14:paraId="41A5A78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未使用或者未规范使用标准地名。</w:t>
            </w:r>
          </w:p>
        </w:tc>
        <w:tc>
          <w:tcPr>
            <w:tcW w:w="940" w:type="pct"/>
            <w:vMerge w:val="restart"/>
            <w:noWrap/>
            <w:vAlign w:val="center"/>
          </w:tcPr>
          <w:p w14:paraId="1B7A8EA2">
            <w:pPr>
              <w:keepNext w:val="0"/>
              <w:keepLines w:val="0"/>
              <w:pageBreakBefore w:val="0"/>
              <w:widowControl w:val="0"/>
              <w:kinsoku/>
              <w:wordWrap/>
              <w:overflowPunct w:val="0"/>
              <w:topLinePunct w:val="0"/>
              <w:autoSpaceDE/>
              <w:autoSpaceDN/>
              <w:bidi w:val="0"/>
              <w:adjustRightInd w:val="0"/>
              <w:snapToGrid/>
              <w:spacing w:line="260" w:lineRule="exact"/>
              <w:ind w:firstLine="420" w:firstLineChars="200"/>
              <w:textAlignment w:val="auto"/>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地名管理条例》第十八条：下列范围内必须使用标准地名：（一）地名标志、交通标志、广告牌匾等标识；（二）通过报刊、广播、电视等新闻媒体和政府网站等公共平台发布的信息；（三）法律文书、身份证明、商品房预售许可证明、不动产权属证书等各类公文、证件；（四）辞书等工具类以及教材教辅等学习类公开出版物；（五）向社会公开的地图；（六）法律、行政法规规定应当使用标准地名的其他情形。</w:t>
            </w:r>
          </w:p>
          <w:p w14:paraId="48801E43">
            <w:pPr>
              <w:keepNext w:val="0"/>
              <w:keepLines w:val="0"/>
              <w:pageBreakBefore w:val="0"/>
              <w:widowControl w:val="0"/>
              <w:kinsoku/>
              <w:wordWrap/>
              <w:overflowPunct w:val="0"/>
              <w:topLinePunct w:val="0"/>
              <w:autoSpaceDE/>
              <w:autoSpaceDN/>
              <w:bidi w:val="0"/>
              <w:adjustRightInd w:val="0"/>
              <w:snapToGrid/>
              <w:spacing w:line="260" w:lineRule="exact"/>
              <w:ind w:firstLine="420" w:firstLineChars="200"/>
              <w:textAlignment w:val="auto"/>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《山东省地名管理条例》第十二条  下列范围内应当使用标准地名：（一）地名标志、交通标志、广告牌匾等标识；（二）通过报刊、广播、电视等新闻媒体和政府网站等公共平台发布的信息；（三）法律文书、身份证明、商品房预售许可证明、不动产权属证书等各类公文、证件；（四）辞书等工具类以及教材教辅等学习类公开出版物；（五）向社会公开的地图；（六）法律、行政法规规定应当使用标准地名的其他情形。</w:t>
            </w:r>
          </w:p>
        </w:tc>
        <w:tc>
          <w:tcPr>
            <w:tcW w:w="929" w:type="pct"/>
            <w:vMerge w:val="restart"/>
            <w:noWrap/>
            <w:vAlign w:val="center"/>
          </w:tcPr>
          <w:p w14:paraId="074327FF">
            <w:pPr>
              <w:keepNext w:val="0"/>
              <w:keepLines w:val="0"/>
              <w:pageBreakBefore w:val="0"/>
              <w:widowControl w:val="0"/>
              <w:kinsoku/>
              <w:wordWrap/>
              <w:overflowPunct w:val="0"/>
              <w:topLinePunct w:val="0"/>
              <w:autoSpaceDE/>
              <w:autoSpaceDN/>
              <w:bidi w:val="0"/>
              <w:adjustRightInd w:val="0"/>
              <w:snapToGrid/>
              <w:spacing w:line="260" w:lineRule="exact"/>
              <w:ind w:firstLine="420" w:firstLineChars="200"/>
              <w:textAlignment w:val="auto"/>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地名管理条例》第三十七条：违反本条例第十八条规定，未使用或者未规范使用标准地名的，由县级以上地方人民政府地名行政主管部门或者其他有关部门责令限期改正；逾期不改正的，对违法单位通报批评，并通知有关主管部门依法处理；对违法单位的法定代表人或者主要负责人、直接负责的主管人员和其他直接责任人员，处两千元以上一万元以下罚款。《山东省地名管理条例》第十二条违反前款规定，未使用或者未规范使用标准地名的，由县级以上人民政府民政部门或者其他有关部门责令限期改正；逾期不改正的，对违法单位通报批评，并通知有关主管部门依法处理；对违法单位的法定代表人或者主要负责人、直接负责的主管人员和其他直接责任人员，依法处二千元以上一万元罚款。）</w:t>
            </w:r>
          </w:p>
        </w:tc>
        <w:tc>
          <w:tcPr>
            <w:tcW w:w="237" w:type="pct"/>
            <w:noWrap/>
            <w:vAlign w:val="center"/>
          </w:tcPr>
          <w:p w14:paraId="53026F1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2DB9164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未规范使用地名，经责令限期改正逾期不改正的，造成一定不良影响。</w:t>
            </w:r>
          </w:p>
        </w:tc>
        <w:tc>
          <w:tcPr>
            <w:tcW w:w="612" w:type="pct"/>
            <w:noWrap/>
            <w:vAlign w:val="center"/>
          </w:tcPr>
          <w:p w14:paraId="0636F81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通报批评。</w:t>
            </w:r>
          </w:p>
        </w:tc>
      </w:tr>
      <w:tr w14:paraId="10073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224" w:hRule="exact"/>
          <w:jc w:val="center"/>
        </w:trPr>
        <w:tc>
          <w:tcPr>
            <w:tcW w:w="197" w:type="pct"/>
            <w:vMerge w:val="continue"/>
            <w:vAlign w:val="center"/>
          </w:tcPr>
          <w:p w14:paraId="05CD56E3">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29DA325F">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53020C23">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19299F84">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F5A167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09C78D9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未规范使用地名，经责令限期改正逾期不改正的，造成较重不良影响。</w:t>
            </w:r>
          </w:p>
        </w:tc>
        <w:tc>
          <w:tcPr>
            <w:tcW w:w="612" w:type="pct"/>
            <w:noWrap/>
            <w:vAlign w:val="center"/>
          </w:tcPr>
          <w:p w14:paraId="5D58F6A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通报批评，并对违法单位的法定代表人或者主要负责人、直接负责的主管人员和其他直接责任人员，处两千元以上不超过五千元罚款。</w:t>
            </w:r>
          </w:p>
        </w:tc>
      </w:tr>
      <w:tr w14:paraId="0D104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224" w:hRule="exact"/>
          <w:jc w:val="center"/>
        </w:trPr>
        <w:tc>
          <w:tcPr>
            <w:tcW w:w="197" w:type="pct"/>
            <w:vMerge w:val="continue"/>
            <w:vAlign w:val="center"/>
          </w:tcPr>
          <w:p w14:paraId="725A8976">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2358CDBD">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202BE805">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7CB09C2E">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E292B1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077932E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未规范使用地名且拒不改正的，造成严重不良影响。</w:t>
            </w:r>
          </w:p>
        </w:tc>
        <w:tc>
          <w:tcPr>
            <w:tcW w:w="612" w:type="pct"/>
            <w:noWrap/>
            <w:vAlign w:val="center"/>
          </w:tcPr>
          <w:p w14:paraId="3728D62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通报批评，并对违法单位的法定代表人或者主要负责人、直接负责的主管人员和其他直接责任人员，处五千元以上一万元以下的罚款。</w:t>
            </w:r>
          </w:p>
        </w:tc>
      </w:tr>
      <w:tr w14:paraId="6291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restart"/>
            <w:noWrap/>
            <w:vAlign w:val="center"/>
          </w:tcPr>
          <w:p w14:paraId="7921F82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97</w:t>
            </w:r>
          </w:p>
        </w:tc>
        <w:tc>
          <w:tcPr>
            <w:tcW w:w="1054" w:type="pct"/>
            <w:gridSpan w:val="2"/>
            <w:vMerge w:val="restart"/>
            <w:noWrap/>
            <w:vAlign w:val="center"/>
          </w:tcPr>
          <w:p w14:paraId="5272F65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擅自设置、拆除、移动、涂改、遮挡、损毁地名标志。</w:t>
            </w:r>
          </w:p>
        </w:tc>
        <w:tc>
          <w:tcPr>
            <w:tcW w:w="940" w:type="pct"/>
            <w:vMerge w:val="restart"/>
            <w:noWrap/>
            <w:vAlign w:val="center"/>
          </w:tcPr>
          <w:p w14:paraId="4EAEFDFB">
            <w:pPr>
              <w:adjustRightInd w:val="0"/>
              <w:snapToGrid w:val="0"/>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《地名管理条例》第十九条：标准地名及相关信息应当在地名标志上予以标示。任何单位和个人不得擅自设置、拆除、移动、涂改、遮挡、损毁地名标志。</w:t>
            </w:r>
          </w:p>
          <w:p w14:paraId="180445CA">
            <w:pPr>
              <w:adjustRightInd w:val="0"/>
              <w:snapToGrid w:val="0"/>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《山东省地名管理条例》第十六条  （第一款）任何单位和个人不得擅自设置、拆除、移动、涂改、遮挡、损毁地名标志。确需拆除或者移动地名标志的，应当经地名标志管理部门或者单位同意，并承担因拆除或者移动产生的制作、运输、安装等费用。</w:t>
            </w:r>
          </w:p>
        </w:tc>
        <w:tc>
          <w:tcPr>
            <w:tcW w:w="929" w:type="pct"/>
            <w:vMerge w:val="restart"/>
            <w:noWrap/>
            <w:vAlign w:val="center"/>
          </w:tcPr>
          <w:p w14:paraId="387F572D">
            <w:pPr>
              <w:adjustRightInd w:val="0"/>
              <w:snapToGrid w:val="0"/>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《地名管理条例》第三十八条：擅自设置、拆除、移动、涂改、遮挡、损毁地名标志的，由地名标志设置、维护和管理部门责令改正并对责任人员处一千元以上五千元以下罚款。</w:t>
            </w:r>
          </w:p>
          <w:p w14:paraId="6AB2282D">
            <w:pPr>
              <w:adjustRightInd w:val="0"/>
              <w:snapToGrid w:val="0"/>
              <w:rPr>
                <w:rFonts w:hAnsi="宋体" w:cs="宋体"/>
                <w:color w:val="000000" w:themeColor="text1"/>
                <w:spacing w:val="-6"/>
                <w:kern w:val="0"/>
                <w:sz w:val="21"/>
                <w:szCs w:val="21"/>
                <w14:textFill>
                  <w14:solidFill>
                    <w14:schemeClr w14:val="tx1"/>
                  </w14:solidFill>
                </w14:textFill>
              </w:rPr>
            </w:pPr>
            <w:r>
              <w:rPr>
                <w:rFonts w:hint="eastAsia" w:hAnsi="宋体" w:cs="宋体"/>
                <w:color w:val="000000" w:themeColor="text1"/>
                <w:spacing w:val="-6"/>
                <w:kern w:val="0"/>
                <w:sz w:val="21"/>
                <w:szCs w:val="21"/>
                <w14:textFill>
                  <w14:solidFill>
                    <w14:schemeClr w14:val="tx1"/>
                  </w14:solidFill>
                </w14:textFill>
              </w:rPr>
              <w:t>《山东省地名管理条例》第十六条  （第二款）违反前款规定，擅自设置、拆除、移动、涂改、遮挡、损毁地名标志的，由地名标志管理部门责令改正，依法对责任人员处一千元以上五千元以下罚款。</w:t>
            </w:r>
          </w:p>
        </w:tc>
        <w:tc>
          <w:tcPr>
            <w:tcW w:w="237" w:type="pct"/>
            <w:noWrap/>
            <w:vAlign w:val="center"/>
          </w:tcPr>
          <w:p w14:paraId="6FAE2C7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7B8132B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违法事实没有消除的，造成较小不良影响。</w:t>
            </w:r>
          </w:p>
        </w:tc>
        <w:tc>
          <w:tcPr>
            <w:tcW w:w="612" w:type="pct"/>
            <w:noWrap/>
            <w:vAlign w:val="center"/>
          </w:tcPr>
          <w:p w14:paraId="75A8B9D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处一千元以上不超过二千元罚款。</w:t>
            </w:r>
          </w:p>
        </w:tc>
      </w:tr>
      <w:tr w14:paraId="759EB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080FA841">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3005B517">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30FFDFF0">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3B9F03A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B47669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6AB1C37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违法事实没有消除的，造成较大不良影响。</w:t>
            </w:r>
          </w:p>
        </w:tc>
        <w:tc>
          <w:tcPr>
            <w:tcW w:w="612" w:type="pct"/>
            <w:noWrap/>
            <w:vAlign w:val="center"/>
          </w:tcPr>
          <w:p w14:paraId="6205DF0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处二千元以上不超过三千元罚款。</w:t>
            </w:r>
          </w:p>
        </w:tc>
      </w:tr>
      <w:tr w14:paraId="45A09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5865B599">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DDFEC33">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73C22FD">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0026B828">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5AC7982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1579C40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有违法事实且拒不改正的，造成严重不良影响。</w:t>
            </w:r>
          </w:p>
        </w:tc>
        <w:tc>
          <w:tcPr>
            <w:tcW w:w="612" w:type="pct"/>
            <w:noWrap/>
            <w:vAlign w:val="center"/>
          </w:tcPr>
          <w:p w14:paraId="0B358E3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处三千元以上五千元以下的罚款。</w:t>
            </w:r>
          </w:p>
        </w:tc>
      </w:tr>
      <w:tr w14:paraId="0DB93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restart"/>
            <w:noWrap/>
            <w:vAlign w:val="center"/>
          </w:tcPr>
          <w:p w14:paraId="26CF891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98</w:t>
            </w:r>
          </w:p>
        </w:tc>
        <w:tc>
          <w:tcPr>
            <w:tcW w:w="1054" w:type="pct"/>
            <w:gridSpan w:val="2"/>
            <w:vMerge w:val="restart"/>
            <w:noWrap/>
            <w:vAlign w:val="center"/>
          </w:tcPr>
          <w:p w14:paraId="7FC747E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第三方机构对地名的命名、更名、使用、文化保护等情况出具虚假评估报告。</w:t>
            </w:r>
          </w:p>
        </w:tc>
        <w:tc>
          <w:tcPr>
            <w:tcW w:w="940" w:type="pct"/>
            <w:vMerge w:val="restart"/>
            <w:noWrap/>
            <w:vAlign w:val="center"/>
          </w:tcPr>
          <w:p w14:paraId="02EC61E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《地名管理条例》第三十二条：县级以上人民政府地名行政主管部门和其他有关部门可以委托第三方机构对地名的命名、更名、使用、文化保护等情况进行评估。</w:t>
            </w: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第三十九条：第三方机构对地名的命名、更名、使用、文化保护等情况出具虚假评估报告的，由县级以上地方人民政府地名行政主管部门给予警告，有违法所得的，没收违法所得；情节严重的，5年内禁止从事地名相关评估工作。</w:t>
            </w:r>
          </w:p>
        </w:tc>
        <w:tc>
          <w:tcPr>
            <w:tcW w:w="929" w:type="pct"/>
            <w:vMerge w:val="restart"/>
            <w:noWrap/>
            <w:vAlign w:val="center"/>
          </w:tcPr>
          <w:p w14:paraId="355F378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地名管理条例》第三十九条：第三方机构对地名的命名、更名、使用、文化保护等情况出具虚假评估报告的，由县级以上地方人民政府地名行政主管部门给予警告，有违法所得的，没收违法所得；情节严重的，5年内禁止从事地名相关评估工作。</w:t>
            </w:r>
          </w:p>
        </w:tc>
        <w:tc>
          <w:tcPr>
            <w:tcW w:w="237" w:type="pct"/>
            <w:noWrap/>
            <w:vAlign w:val="center"/>
          </w:tcPr>
          <w:p w14:paraId="26E05EA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24274A3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第三方机构出具虚假评估报告，没有违法所得。</w:t>
            </w:r>
          </w:p>
        </w:tc>
        <w:tc>
          <w:tcPr>
            <w:tcW w:w="612" w:type="pct"/>
            <w:noWrap/>
            <w:vAlign w:val="center"/>
          </w:tcPr>
          <w:p w14:paraId="04FEC10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2670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7D25770A">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5A3D1DBC">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37D7D046">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1168E2E4">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672913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3A0AE6C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第三方机构出具虚假评估报告，有违法所得。</w:t>
            </w:r>
          </w:p>
        </w:tc>
        <w:tc>
          <w:tcPr>
            <w:tcW w:w="612" w:type="pct"/>
            <w:noWrap/>
            <w:vAlign w:val="center"/>
          </w:tcPr>
          <w:p w14:paraId="5465898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警告，没收违法所得。</w:t>
            </w:r>
          </w:p>
        </w:tc>
      </w:tr>
      <w:tr w14:paraId="385A0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197" w:type="pct"/>
            <w:vMerge w:val="continue"/>
            <w:vAlign w:val="center"/>
          </w:tcPr>
          <w:p w14:paraId="2CC6334D">
            <w:pPr>
              <w:adjustRightInd w:val="0"/>
              <w:snapToGrid w:val="0"/>
              <w:jc w:val="center"/>
              <w:rPr>
                <w:rFonts w:hAnsi="宋体" w:cs="宋体"/>
                <w:color w:val="000000" w:themeColor="text1"/>
                <w:kern w:val="0"/>
                <w:sz w:val="21"/>
                <w:szCs w:val="21"/>
                <w14:textFill>
                  <w14:solidFill>
                    <w14:schemeClr w14:val="tx1"/>
                  </w14:solidFill>
                </w14:textFill>
              </w:rPr>
            </w:pPr>
          </w:p>
        </w:tc>
        <w:tc>
          <w:tcPr>
            <w:tcW w:w="1054" w:type="pct"/>
            <w:gridSpan w:val="2"/>
            <w:vMerge w:val="continue"/>
            <w:vAlign w:val="center"/>
          </w:tcPr>
          <w:p w14:paraId="7680CA76">
            <w:pPr>
              <w:adjustRightInd w:val="0"/>
              <w:snapToGrid w:val="0"/>
              <w:rPr>
                <w:rFonts w:hAnsi="宋体" w:cs="宋体"/>
                <w:color w:val="000000" w:themeColor="text1"/>
                <w:kern w:val="0"/>
                <w:sz w:val="21"/>
                <w:szCs w:val="21"/>
                <w14:textFill>
                  <w14:solidFill>
                    <w14:schemeClr w14:val="tx1"/>
                  </w14:solidFill>
                </w14:textFill>
              </w:rPr>
            </w:pPr>
          </w:p>
        </w:tc>
        <w:tc>
          <w:tcPr>
            <w:tcW w:w="940" w:type="pct"/>
            <w:vMerge w:val="continue"/>
            <w:vAlign w:val="center"/>
          </w:tcPr>
          <w:p w14:paraId="750796A3">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E504FF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30EBA8C">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30DCC16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经责令限期改正对违法事实逾期拒不改正，非法所得数额较大，造成严重不良影响。</w:t>
            </w:r>
          </w:p>
        </w:tc>
        <w:tc>
          <w:tcPr>
            <w:tcW w:w="612" w:type="pct"/>
            <w:noWrap/>
            <w:vAlign w:val="center"/>
          </w:tcPr>
          <w:p w14:paraId="6AED099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没收违法所得，5年内禁止从事地名相关评估工作。</w:t>
            </w:r>
          </w:p>
        </w:tc>
      </w:tr>
      <w:tr w14:paraId="53BD9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exact"/>
          <w:jc w:val="center"/>
        </w:trPr>
        <w:tc>
          <w:tcPr>
            <w:tcW w:w="5000" w:type="pct"/>
            <w:gridSpan w:val="8"/>
            <w:noWrap/>
            <w:vAlign w:val="center"/>
          </w:tcPr>
          <w:p w14:paraId="7CC8BB75">
            <w:pPr>
              <w:adjustRightInd w:val="0"/>
              <w:snapToGrid w:val="0"/>
              <w:rPr>
                <w:rFonts w:ascii="黑体" w:hAnsi="黑体" w:eastAsia="黑体" w:cs="宋体"/>
                <w:color w:val="000000" w:themeColor="text1"/>
                <w:kern w:val="0"/>
                <w:sz w:val="21"/>
                <w:szCs w:val="21"/>
                <w14:textFill>
                  <w14:solidFill>
                    <w14:schemeClr w14:val="tx1"/>
                  </w14:solidFill>
                </w14:textFill>
              </w:rPr>
            </w:pPr>
            <w:r>
              <w:rPr>
                <w:rFonts w:hint="eastAsia" w:ascii="黑体" w:hAnsi="黑体" w:eastAsia="黑体" w:cs="宋体"/>
                <w:color w:val="000000" w:themeColor="text1"/>
                <w:kern w:val="0"/>
                <w:sz w:val="21"/>
                <w:szCs w:val="21"/>
                <w14:textFill>
                  <w14:solidFill>
                    <w14:schemeClr w14:val="tx1"/>
                  </w14:solidFill>
                </w14:textFill>
              </w:rPr>
              <w:t>十、殡葬管理工作</w:t>
            </w:r>
          </w:p>
        </w:tc>
      </w:tr>
      <w:tr w14:paraId="64DD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765" w:hRule="exact"/>
          <w:jc w:val="center"/>
        </w:trPr>
        <w:tc>
          <w:tcPr>
            <w:tcW w:w="201" w:type="pct"/>
            <w:gridSpan w:val="2"/>
            <w:shd w:val="clear" w:color="auto" w:fill="auto"/>
            <w:noWrap/>
            <w:vAlign w:val="center"/>
          </w:tcPr>
          <w:p w14:paraId="1A8EB32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99</w:t>
            </w:r>
          </w:p>
        </w:tc>
        <w:tc>
          <w:tcPr>
            <w:tcW w:w="1050" w:type="pct"/>
            <w:shd w:val="clear" w:color="auto" w:fill="auto"/>
            <w:noWrap/>
            <w:vAlign w:val="center"/>
          </w:tcPr>
          <w:p w14:paraId="5539D370">
            <w:pPr>
              <w:adjustRightInd w:val="0"/>
              <w:snapToGrid w:val="0"/>
              <w:rPr>
                <w:rFonts w:hAnsi="宋体" w:cs="宋体"/>
                <w:color w:val="000000"/>
                <w:kern w:val="0"/>
                <w:sz w:val="21"/>
                <w:szCs w:val="21"/>
                <w:lang w:val="en"/>
              </w:rPr>
            </w:pPr>
            <w:r>
              <w:rPr>
                <w:rFonts w:hint="eastAsia" w:hAnsi="宋体" w:cs="宋体"/>
                <w:color w:val="000000"/>
                <w:kern w:val="0"/>
                <w:sz w:val="21"/>
                <w:szCs w:val="21"/>
              </w:rPr>
              <w:t>违反《殡葬管理条例》规定接运、存放、火化遗体或者未按规定保存相关视频图像信息。</w:t>
            </w:r>
          </w:p>
        </w:tc>
        <w:tc>
          <w:tcPr>
            <w:tcW w:w="939" w:type="pct"/>
            <w:shd w:val="clear" w:color="auto" w:fill="auto"/>
            <w:noWrap/>
            <w:vAlign w:val="center"/>
          </w:tcPr>
          <w:p w14:paraId="0C363744">
            <w:pPr>
              <w:keepNext w:val="0"/>
              <w:keepLines w:val="0"/>
              <w:pageBreakBefore w:val="0"/>
              <w:widowControl w:val="0"/>
              <w:kinsoku/>
              <w:wordWrap/>
              <w:overflowPunct/>
              <w:topLinePunct w:val="0"/>
              <w:autoSpaceDE/>
              <w:autoSpaceDN/>
              <w:bidi w:val="0"/>
              <w:adjustRightInd w:val="0"/>
              <w:snapToGrid w:val="0"/>
              <w:spacing w:line="224" w:lineRule="exact"/>
              <w:textAlignment w:val="auto"/>
              <w:rPr>
                <w:rFonts w:hAnsi="宋体" w:cs="宋体"/>
                <w:color w:val="000000"/>
                <w:kern w:val="0"/>
                <w:sz w:val="18"/>
                <w:szCs w:val="18"/>
              </w:rPr>
            </w:pPr>
            <w:r>
              <w:rPr>
                <w:rFonts w:hint="eastAsia" w:hAnsi="宋体" w:cs="宋体"/>
                <w:color w:val="000000"/>
                <w:kern w:val="0"/>
                <w:sz w:val="18"/>
                <w:szCs w:val="18"/>
              </w:rPr>
              <w:t>《殡葬管理条例》</w:t>
            </w:r>
          </w:p>
          <w:p w14:paraId="3053F7EC">
            <w:pPr>
              <w:keepNext w:val="0"/>
              <w:keepLines w:val="0"/>
              <w:pageBreakBefore w:val="0"/>
              <w:widowControl w:val="0"/>
              <w:kinsoku/>
              <w:wordWrap/>
              <w:overflowPunct/>
              <w:topLinePunct w:val="0"/>
              <w:autoSpaceDE/>
              <w:autoSpaceDN/>
              <w:bidi w:val="0"/>
              <w:adjustRightInd w:val="0"/>
              <w:snapToGrid w:val="0"/>
              <w:spacing w:line="224" w:lineRule="exact"/>
              <w:ind w:firstLine="360" w:firstLineChars="200"/>
              <w:textAlignment w:val="auto"/>
              <w:rPr>
                <w:rFonts w:hAnsi="宋体" w:cs="宋体"/>
                <w:color w:val="000000"/>
                <w:kern w:val="0"/>
                <w:sz w:val="18"/>
                <w:szCs w:val="18"/>
              </w:rPr>
            </w:pPr>
            <w:r>
              <w:rPr>
                <w:rFonts w:hAnsi="宋体" w:cs="宋体"/>
                <w:color w:val="000000"/>
                <w:kern w:val="0"/>
                <w:sz w:val="18"/>
                <w:szCs w:val="18"/>
                <w:lang w:val="en"/>
              </w:rPr>
              <w:t>1</w:t>
            </w:r>
            <w:r>
              <w:rPr>
                <w:rFonts w:hint="eastAsia" w:hAnsi="宋体" w:cs="宋体"/>
                <w:color w:val="000000"/>
                <w:kern w:val="0"/>
                <w:sz w:val="18"/>
                <w:szCs w:val="18"/>
              </w:rPr>
              <w:t>.第二十六条:殡仪馆应当凭死亡证明及时接运遗体，并对遗体进行必要的卫生技术处理。接运遗体时，发现遗体状况与死亡证明所载死因明显不符的，应当立即向公安机关报告。</w:t>
            </w:r>
          </w:p>
          <w:p w14:paraId="560696BD">
            <w:pPr>
              <w:keepNext w:val="0"/>
              <w:keepLines w:val="0"/>
              <w:pageBreakBefore w:val="0"/>
              <w:widowControl w:val="0"/>
              <w:kinsoku/>
              <w:wordWrap/>
              <w:overflowPunct/>
              <w:topLinePunct w:val="0"/>
              <w:autoSpaceDE/>
              <w:autoSpaceDN/>
              <w:bidi w:val="0"/>
              <w:adjustRightInd w:val="0"/>
              <w:snapToGrid w:val="0"/>
              <w:spacing w:line="224" w:lineRule="exact"/>
              <w:ind w:firstLine="360" w:firstLineChars="200"/>
              <w:textAlignment w:val="auto"/>
              <w:rPr>
                <w:rFonts w:hAnsi="宋体" w:cs="宋体"/>
                <w:color w:val="000000"/>
                <w:kern w:val="0"/>
                <w:sz w:val="18"/>
                <w:szCs w:val="18"/>
              </w:rPr>
            </w:pPr>
            <w:r>
              <w:rPr>
                <w:rFonts w:hAnsi="宋体" w:cs="宋体"/>
                <w:color w:val="000000"/>
                <w:kern w:val="0"/>
                <w:sz w:val="18"/>
                <w:szCs w:val="18"/>
                <w:lang w:val="en"/>
              </w:rPr>
              <w:t>2</w:t>
            </w:r>
            <w:r>
              <w:rPr>
                <w:rFonts w:hint="eastAsia" w:hAnsi="宋体" w:cs="宋体"/>
                <w:color w:val="000000"/>
                <w:kern w:val="0"/>
                <w:sz w:val="18"/>
                <w:szCs w:val="18"/>
              </w:rPr>
              <w:t>.第二十七条:殡仪馆存放遗体一般不超过3日，需要延期存放的，丧属或者遗体移交方应当在殡仪馆办理延期存放手续，并按规定交纳延期存放费用。</w:t>
            </w:r>
          </w:p>
          <w:p w14:paraId="0EDE1401">
            <w:pPr>
              <w:keepNext w:val="0"/>
              <w:keepLines w:val="0"/>
              <w:pageBreakBefore w:val="0"/>
              <w:widowControl w:val="0"/>
              <w:kinsoku/>
              <w:wordWrap/>
              <w:overflowPunct/>
              <w:topLinePunct w:val="0"/>
              <w:autoSpaceDE/>
              <w:autoSpaceDN/>
              <w:bidi w:val="0"/>
              <w:adjustRightInd w:val="0"/>
              <w:snapToGrid w:val="0"/>
              <w:spacing w:line="224" w:lineRule="exact"/>
              <w:ind w:firstLine="360" w:firstLineChars="200"/>
              <w:textAlignment w:val="auto"/>
              <w:rPr>
                <w:rFonts w:hAnsi="宋体" w:cs="宋体"/>
                <w:color w:val="000000"/>
                <w:kern w:val="0"/>
                <w:sz w:val="18"/>
                <w:szCs w:val="18"/>
                <w:lang w:val="en"/>
              </w:rPr>
            </w:pPr>
            <w:r>
              <w:rPr>
                <w:rFonts w:hAnsi="宋体" w:cs="宋体"/>
                <w:color w:val="000000"/>
                <w:kern w:val="0"/>
                <w:sz w:val="18"/>
                <w:szCs w:val="18"/>
                <w:lang w:val="en"/>
              </w:rPr>
              <w:t>3.第二十八条:殡仪馆应当凭死亡证明和火化确认书火化遗体，并出具火化证明。</w:t>
            </w:r>
          </w:p>
          <w:p w14:paraId="5C8A7682">
            <w:pPr>
              <w:keepNext w:val="0"/>
              <w:keepLines w:val="0"/>
              <w:pageBreakBefore w:val="0"/>
              <w:widowControl w:val="0"/>
              <w:kinsoku/>
              <w:wordWrap/>
              <w:overflowPunct/>
              <w:topLinePunct w:val="0"/>
              <w:autoSpaceDE/>
              <w:autoSpaceDN/>
              <w:bidi w:val="0"/>
              <w:adjustRightInd w:val="0"/>
              <w:snapToGrid w:val="0"/>
              <w:spacing w:line="224" w:lineRule="exact"/>
              <w:ind w:firstLine="360" w:firstLineChars="200"/>
              <w:textAlignment w:val="auto"/>
              <w:rPr>
                <w:rFonts w:hAnsi="宋体" w:cs="宋体"/>
                <w:color w:val="000000"/>
                <w:kern w:val="0"/>
                <w:sz w:val="18"/>
                <w:szCs w:val="18"/>
                <w:lang w:val="en"/>
              </w:rPr>
            </w:pPr>
            <w:r>
              <w:rPr>
                <w:rFonts w:hAnsi="宋体" w:cs="宋体"/>
                <w:color w:val="000000"/>
                <w:kern w:val="0"/>
                <w:sz w:val="18"/>
                <w:szCs w:val="18"/>
                <w:lang w:val="en"/>
              </w:rPr>
              <w:t>殡仪馆应当在遗体存放、火化等重点区域安装图像采集设备，并将收集的视频图像信息保存不少于90日备查。</w:t>
            </w:r>
          </w:p>
          <w:p w14:paraId="192BDC8B">
            <w:pPr>
              <w:keepNext w:val="0"/>
              <w:keepLines w:val="0"/>
              <w:pageBreakBefore w:val="0"/>
              <w:widowControl w:val="0"/>
              <w:kinsoku/>
              <w:wordWrap/>
              <w:overflowPunct/>
              <w:topLinePunct w:val="0"/>
              <w:autoSpaceDE/>
              <w:autoSpaceDN/>
              <w:bidi w:val="0"/>
              <w:adjustRightInd w:val="0"/>
              <w:snapToGrid w:val="0"/>
              <w:spacing w:line="224" w:lineRule="exact"/>
              <w:ind w:firstLine="360" w:firstLineChars="200"/>
              <w:textAlignment w:val="auto"/>
              <w:rPr>
                <w:rFonts w:hAnsi="宋体" w:cs="宋体"/>
                <w:color w:val="000000"/>
                <w:kern w:val="0"/>
                <w:sz w:val="18"/>
                <w:szCs w:val="18"/>
                <w:lang w:val="en"/>
              </w:rPr>
            </w:pPr>
            <w:r>
              <w:rPr>
                <w:rFonts w:hAnsi="宋体" w:cs="宋体"/>
                <w:color w:val="000000"/>
                <w:kern w:val="0"/>
                <w:sz w:val="18"/>
                <w:szCs w:val="18"/>
                <w:lang w:val="en"/>
              </w:rPr>
              <w:t>4.第二十九条:在实行火葬的地区，遗体应当就地、就近在殡仪馆火化。确需跨区域运输遗体的，丧属应当凭运输目的地民政部门出具的遗体接收证明联系殡仪馆运输遗体。</w:t>
            </w:r>
          </w:p>
          <w:p w14:paraId="6DE1B252">
            <w:pPr>
              <w:keepNext w:val="0"/>
              <w:keepLines w:val="0"/>
              <w:pageBreakBefore w:val="0"/>
              <w:widowControl w:val="0"/>
              <w:kinsoku/>
              <w:wordWrap/>
              <w:overflowPunct/>
              <w:topLinePunct w:val="0"/>
              <w:autoSpaceDE/>
              <w:autoSpaceDN/>
              <w:bidi w:val="0"/>
              <w:adjustRightInd w:val="0"/>
              <w:snapToGrid w:val="0"/>
              <w:spacing w:line="224" w:lineRule="exact"/>
              <w:ind w:firstLine="360" w:firstLineChars="200"/>
              <w:textAlignment w:val="auto"/>
              <w:rPr>
                <w:rFonts w:hAnsi="宋体" w:cs="宋体"/>
                <w:color w:val="000000"/>
                <w:kern w:val="0"/>
                <w:sz w:val="18"/>
                <w:szCs w:val="18"/>
                <w:lang w:val="en"/>
              </w:rPr>
            </w:pPr>
            <w:r>
              <w:rPr>
                <w:rFonts w:hAnsi="宋体" w:cs="宋体"/>
                <w:color w:val="000000"/>
                <w:kern w:val="0"/>
                <w:sz w:val="18"/>
                <w:szCs w:val="18"/>
                <w:lang w:val="en"/>
              </w:rPr>
              <w:t>需要跨国（境）运输遗体、骸骨的，按照国家有关规定办理。</w:t>
            </w:r>
          </w:p>
          <w:p w14:paraId="3AB07D05">
            <w:pPr>
              <w:keepNext w:val="0"/>
              <w:keepLines w:val="0"/>
              <w:pageBreakBefore w:val="0"/>
              <w:widowControl w:val="0"/>
              <w:kinsoku/>
              <w:wordWrap/>
              <w:overflowPunct/>
              <w:topLinePunct w:val="0"/>
              <w:autoSpaceDE/>
              <w:autoSpaceDN/>
              <w:bidi w:val="0"/>
              <w:adjustRightInd w:val="0"/>
              <w:snapToGrid w:val="0"/>
              <w:spacing w:line="224" w:lineRule="exact"/>
              <w:ind w:firstLine="360" w:firstLineChars="200"/>
              <w:textAlignment w:val="auto"/>
              <w:rPr>
                <w:rFonts w:hAnsi="宋体" w:cs="宋体"/>
                <w:color w:val="000000"/>
                <w:kern w:val="0"/>
                <w:sz w:val="21"/>
                <w:szCs w:val="21"/>
                <w:highlight w:val="magenta"/>
                <w:lang w:val="en"/>
              </w:rPr>
            </w:pPr>
            <w:r>
              <w:rPr>
                <w:rFonts w:hAnsi="宋体" w:cs="宋体"/>
                <w:color w:val="000000"/>
                <w:kern w:val="0"/>
                <w:sz w:val="18"/>
                <w:szCs w:val="18"/>
                <w:lang w:val="en"/>
              </w:rPr>
              <w:t>5.第三十条 身份不明、无人认领、交通事故中当场死亡以及因其他突发事件死亡等特殊情形的死亡证明出具、遗体处置的办法，由国务院民政部门会同国务院公安部门、卫生健康部门等制定</w:t>
            </w:r>
            <w:r>
              <w:rPr>
                <w:rFonts w:hAnsi="宋体" w:cs="宋体"/>
                <w:color w:val="000000"/>
                <w:kern w:val="0"/>
                <w:sz w:val="15"/>
                <w:szCs w:val="15"/>
                <w:lang w:val="en"/>
              </w:rPr>
              <w:t>。</w:t>
            </w:r>
          </w:p>
        </w:tc>
        <w:tc>
          <w:tcPr>
            <w:tcW w:w="929" w:type="pct"/>
            <w:shd w:val="clear" w:color="auto" w:fill="auto"/>
            <w:noWrap/>
            <w:vAlign w:val="center"/>
          </w:tcPr>
          <w:p w14:paraId="5FA10613">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7C34AB33">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五十六条：殡葬服务机构有下列情形之一的，由县级以上地方人民政府民政部门责令限期改正，给予警告，没收违法所得；没有违法所得或者违法所得不足10万元的，视情节轻重、危害程度等情况处5万元以上20万元以下的罚款；违法所得10万元以上的，处违法所得2倍以上5倍以下的罚款。对负有责任的领导人员和直接责任人员，依法给予处分：</w:t>
            </w:r>
          </w:p>
          <w:p w14:paraId="5DC1A5AD">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 xml:space="preserve">（一）违反本条例规定接运、存放、火化遗体，或者未按规定保存相关视频图像信息； </w:t>
            </w:r>
          </w:p>
        </w:tc>
        <w:tc>
          <w:tcPr>
            <w:tcW w:w="237" w:type="pct"/>
            <w:shd w:val="clear" w:color="auto" w:fill="auto"/>
            <w:noWrap/>
            <w:vAlign w:val="center"/>
          </w:tcPr>
          <w:p w14:paraId="4B5B1B63">
            <w:pPr>
              <w:adjustRightInd w:val="0"/>
              <w:snapToGrid w:val="0"/>
              <w:jc w:val="center"/>
              <w:rPr>
                <w:rFonts w:hAnsi="宋体" w:cs="宋体"/>
                <w:color w:val="000000"/>
                <w:kern w:val="0"/>
                <w:sz w:val="21"/>
                <w:szCs w:val="21"/>
              </w:rPr>
            </w:pPr>
            <w:r>
              <w:rPr>
                <w:rFonts w:hint="eastAsia" w:hAnsi="宋体" w:cs="宋体"/>
                <w:color w:val="000000"/>
                <w:kern w:val="0"/>
                <w:sz w:val="21"/>
                <w:szCs w:val="21"/>
              </w:rPr>
              <w:t>从轻处罚</w:t>
            </w:r>
          </w:p>
        </w:tc>
        <w:tc>
          <w:tcPr>
            <w:tcW w:w="1028" w:type="pct"/>
            <w:shd w:val="clear" w:color="auto" w:fill="auto"/>
            <w:noWrap/>
            <w:vAlign w:val="center"/>
          </w:tcPr>
          <w:p w14:paraId="1FB6D457">
            <w:pPr>
              <w:adjustRightInd w:val="0"/>
              <w:snapToGrid w:val="0"/>
              <w:rPr>
                <w:rFonts w:hAnsi="宋体" w:cs="宋体"/>
                <w:color w:val="000000"/>
                <w:kern w:val="0"/>
                <w:sz w:val="21"/>
                <w:szCs w:val="21"/>
              </w:rPr>
            </w:pPr>
            <w:r>
              <w:rPr>
                <w:rFonts w:hint="eastAsia" w:hAnsi="宋体" w:cs="宋体"/>
                <w:color w:val="000000"/>
                <w:kern w:val="0"/>
                <w:sz w:val="21"/>
                <w:szCs w:val="21"/>
              </w:rPr>
              <w:t>没有违法所得或者违法所得不足10万元的。</w:t>
            </w:r>
          </w:p>
        </w:tc>
        <w:tc>
          <w:tcPr>
            <w:tcW w:w="612" w:type="pct"/>
            <w:shd w:val="clear" w:color="auto" w:fill="auto"/>
            <w:noWrap/>
            <w:vAlign w:val="center"/>
          </w:tcPr>
          <w:p w14:paraId="1DFB65C1">
            <w:pPr>
              <w:adjustRightInd w:val="0"/>
              <w:snapToGrid w:val="0"/>
              <w:rPr>
                <w:rFonts w:hAnsi="宋体" w:cs="宋体"/>
                <w:color w:val="000000"/>
                <w:kern w:val="0"/>
                <w:sz w:val="21"/>
                <w:szCs w:val="21"/>
              </w:rPr>
            </w:pPr>
            <w:r>
              <w:rPr>
                <w:rFonts w:hint="eastAsia" w:hAnsi="宋体" w:cs="宋体"/>
                <w:color w:val="000000"/>
                <w:kern w:val="0"/>
                <w:sz w:val="21"/>
                <w:szCs w:val="21"/>
              </w:rPr>
              <w:t>1.情节较轻，造成较小不良社会影响的，警告，处5万元以上不超过10万元的罚款，有违法所得的一并没收违法所得；</w:t>
            </w:r>
          </w:p>
          <w:p w14:paraId="4EBD52CC">
            <w:pPr>
              <w:adjustRightInd w:val="0"/>
              <w:snapToGrid w:val="0"/>
              <w:rPr>
                <w:rFonts w:hAnsi="宋体" w:cs="宋体"/>
                <w:color w:val="000000"/>
                <w:kern w:val="0"/>
                <w:sz w:val="21"/>
                <w:szCs w:val="21"/>
              </w:rPr>
            </w:pPr>
            <w:r>
              <w:rPr>
                <w:rFonts w:hint="eastAsia" w:hAnsi="宋体" w:cs="宋体"/>
                <w:color w:val="000000"/>
                <w:kern w:val="0"/>
                <w:sz w:val="21"/>
                <w:szCs w:val="21"/>
              </w:rPr>
              <w:t>2.情节较重，造成较大不良社会影响的，警告，处10万元以上不超过15万元的罚款，有违法所得的一并没收违法所得；</w:t>
            </w:r>
          </w:p>
          <w:p w14:paraId="4D869A75">
            <w:pPr>
              <w:adjustRightInd w:val="0"/>
              <w:snapToGrid w:val="0"/>
              <w:rPr>
                <w:rFonts w:hAnsi="宋体" w:cs="宋体"/>
                <w:color w:val="000000"/>
                <w:kern w:val="0"/>
                <w:sz w:val="21"/>
                <w:szCs w:val="21"/>
              </w:rPr>
            </w:pPr>
            <w:r>
              <w:rPr>
                <w:rFonts w:hint="eastAsia" w:hAnsi="宋体" w:cs="宋体"/>
                <w:color w:val="000000"/>
                <w:kern w:val="0"/>
                <w:sz w:val="21"/>
                <w:szCs w:val="21"/>
              </w:rPr>
              <w:t>3.情节严重，造成严重不良社会影响的，警告，处15万元以上20万元以下的罚款，有违法所得的一并没收违法所得。</w:t>
            </w:r>
          </w:p>
        </w:tc>
      </w:tr>
      <w:tr w14:paraId="07B6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98" w:hRule="atLeast"/>
          <w:jc w:val="center"/>
        </w:trPr>
        <w:tc>
          <w:tcPr>
            <w:tcW w:w="201" w:type="pct"/>
            <w:gridSpan w:val="2"/>
            <w:vMerge w:val="restart"/>
            <w:shd w:val="clear" w:color="auto" w:fill="auto"/>
            <w:vAlign w:val="center"/>
          </w:tcPr>
          <w:p w14:paraId="7715783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99</w:t>
            </w:r>
          </w:p>
        </w:tc>
        <w:tc>
          <w:tcPr>
            <w:tcW w:w="1050" w:type="pct"/>
            <w:vMerge w:val="restart"/>
            <w:shd w:val="clear" w:color="auto" w:fill="auto"/>
            <w:vAlign w:val="center"/>
          </w:tcPr>
          <w:p w14:paraId="57E1698F">
            <w:pPr>
              <w:adjustRightInd w:val="0"/>
              <w:snapToGrid w:val="0"/>
              <w:rPr>
                <w:rFonts w:hAnsi="宋体" w:cs="宋体"/>
                <w:color w:val="000000"/>
                <w:kern w:val="0"/>
                <w:sz w:val="21"/>
                <w:szCs w:val="21"/>
                <w:lang w:val="en"/>
              </w:rPr>
            </w:pPr>
            <w:r>
              <w:rPr>
                <w:rFonts w:hint="eastAsia" w:hAnsi="宋体" w:cs="宋体"/>
                <w:color w:val="000000"/>
                <w:kern w:val="0"/>
                <w:sz w:val="21"/>
                <w:szCs w:val="21"/>
              </w:rPr>
              <w:t>违反《殡葬管理条例》规定接运、存放、火化遗体或者未按规定保存相关视频图像信息。</w:t>
            </w:r>
          </w:p>
        </w:tc>
        <w:tc>
          <w:tcPr>
            <w:tcW w:w="939" w:type="pct"/>
            <w:vMerge w:val="restart"/>
            <w:shd w:val="clear" w:color="auto" w:fill="auto"/>
            <w:vAlign w:val="center"/>
          </w:tcPr>
          <w:p w14:paraId="0C4EF9E1">
            <w:pPr>
              <w:adjustRightInd w:val="0"/>
              <w:snapToGrid w:val="0"/>
              <w:rPr>
                <w:rFonts w:hAnsi="宋体" w:cs="宋体"/>
                <w:color w:val="000000"/>
                <w:kern w:val="0"/>
                <w:sz w:val="18"/>
                <w:szCs w:val="18"/>
              </w:rPr>
            </w:pPr>
            <w:r>
              <w:rPr>
                <w:rFonts w:hint="eastAsia" w:hAnsi="宋体" w:cs="宋体"/>
                <w:color w:val="000000"/>
                <w:kern w:val="0"/>
                <w:sz w:val="18"/>
                <w:szCs w:val="18"/>
              </w:rPr>
              <w:t>《殡葬管理条例》</w:t>
            </w:r>
          </w:p>
          <w:p w14:paraId="52A200CF">
            <w:pPr>
              <w:adjustRightInd w:val="0"/>
              <w:snapToGrid w:val="0"/>
              <w:ind w:firstLine="360" w:firstLineChars="200"/>
              <w:rPr>
                <w:rFonts w:hAnsi="宋体" w:cs="宋体"/>
                <w:color w:val="000000"/>
                <w:kern w:val="0"/>
                <w:sz w:val="18"/>
                <w:szCs w:val="18"/>
              </w:rPr>
            </w:pPr>
            <w:r>
              <w:rPr>
                <w:rFonts w:hAnsi="宋体" w:cs="宋体"/>
                <w:color w:val="000000"/>
                <w:kern w:val="0"/>
                <w:sz w:val="18"/>
                <w:szCs w:val="18"/>
                <w:lang w:val="en"/>
              </w:rPr>
              <w:t>1</w:t>
            </w:r>
            <w:r>
              <w:rPr>
                <w:rFonts w:hint="eastAsia" w:hAnsi="宋体" w:cs="宋体"/>
                <w:color w:val="000000"/>
                <w:kern w:val="0"/>
                <w:sz w:val="18"/>
                <w:szCs w:val="18"/>
              </w:rPr>
              <w:t>.第二十六条:殡仪馆应当凭死亡证明及时接运遗体，并对遗体进行必要的卫生技术处理。接运遗体时，发现遗体状况与死亡证明所载死因明显不符的，应当立即向公安机关报告。</w:t>
            </w:r>
          </w:p>
          <w:p w14:paraId="6DBC5CDF">
            <w:pPr>
              <w:adjustRightInd w:val="0"/>
              <w:snapToGrid w:val="0"/>
              <w:ind w:firstLine="360" w:firstLineChars="200"/>
              <w:rPr>
                <w:rFonts w:hAnsi="宋体" w:cs="宋体"/>
                <w:color w:val="000000"/>
                <w:kern w:val="0"/>
                <w:sz w:val="18"/>
                <w:szCs w:val="18"/>
              </w:rPr>
            </w:pPr>
            <w:r>
              <w:rPr>
                <w:rFonts w:hAnsi="宋体" w:cs="宋体"/>
                <w:color w:val="000000"/>
                <w:kern w:val="0"/>
                <w:sz w:val="18"/>
                <w:szCs w:val="18"/>
                <w:lang w:val="en"/>
              </w:rPr>
              <w:t>2</w:t>
            </w:r>
            <w:r>
              <w:rPr>
                <w:rFonts w:hint="eastAsia" w:hAnsi="宋体" w:cs="宋体"/>
                <w:color w:val="000000"/>
                <w:kern w:val="0"/>
                <w:sz w:val="18"/>
                <w:szCs w:val="18"/>
              </w:rPr>
              <w:t>.第二十七条:殡仪馆存放遗体一般不超过3日，需要延期存放的，丧属或者遗体移交方应当在殡仪馆办理延期存放手续，并按规定交纳延期存放费用。</w:t>
            </w:r>
          </w:p>
          <w:p w14:paraId="4E450942">
            <w:pPr>
              <w:adjustRightInd w:val="0"/>
              <w:snapToGrid w:val="0"/>
              <w:ind w:firstLine="360" w:firstLineChars="200"/>
              <w:rPr>
                <w:rFonts w:hAnsi="宋体" w:cs="宋体"/>
                <w:color w:val="000000"/>
                <w:kern w:val="0"/>
                <w:sz w:val="18"/>
                <w:szCs w:val="18"/>
                <w:lang w:val="en"/>
              </w:rPr>
            </w:pPr>
            <w:r>
              <w:rPr>
                <w:rFonts w:hAnsi="宋体" w:cs="宋体"/>
                <w:color w:val="000000"/>
                <w:kern w:val="0"/>
                <w:sz w:val="18"/>
                <w:szCs w:val="18"/>
                <w:lang w:val="en"/>
              </w:rPr>
              <w:t>3.第二十八条:殡仪馆应当凭死亡证明和火化确认书火化遗体，并出具火化证明。</w:t>
            </w:r>
          </w:p>
          <w:p w14:paraId="2A863F55">
            <w:pPr>
              <w:adjustRightInd w:val="0"/>
              <w:snapToGrid w:val="0"/>
              <w:ind w:firstLine="360" w:firstLineChars="200"/>
              <w:rPr>
                <w:rFonts w:hAnsi="宋体" w:cs="宋体"/>
                <w:color w:val="000000"/>
                <w:kern w:val="0"/>
                <w:sz w:val="18"/>
                <w:szCs w:val="18"/>
                <w:lang w:val="en"/>
              </w:rPr>
            </w:pPr>
            <w:r>
              <w:rPr>
                <w:rFonts w:hAnsi="宋体" w:cs="宋体"/>
                <w:color w:val="000000"/>
                <w:kern w:val="0"/>
                <w:sz w:val="18"/>
                <w:szCs w:val="18"/>
                <w:lang w:val="en"/>
              </w:rPr>
              <w:t>殡仪馆应当在遗体存放、火化等重点区域安装图像采集设备，并将收集的视频图像信息保存不少于90日备查。</w:t>
            </w:r>
          </w:p>
          <w:p w14:paraId="1D8C4227">
            <w:pPr>
              <w:adjustRightInd w:val="0"/>
              <w:snapToGrid w:val="0"/>
              <w:ind w:firstLine="360" w:firstLineChars="200"/>
              <w:rPr>
                <w:rFonts w:hAnsi="宋体" w:cs="宋体"/>
                <w:color w:val="000000"/>
                <w:kern w:val="0"/>
                <w:sz w:val="18"/>
                <w:szCs w:val="18"/>
                <w:lang w:val="en"/>
              </w:rPr>
            </w:pPr>
            <w:r>
              <w:rPr>
                <w:rFonts w:hAnsi="宋体" w:cs="宋体"/>
                <w:color w:val="000000"/>
                <w:kern w:val="0"/>
                <w:sz w:val="18"/>
                <w:szCs w:val="18"/>
                <w:lang w:val="en"/>
              </w:rPr>
              <w:t>4.第二十九条:在实行火葬的地区，遗体应当就地、就近在殡仪馆火化。确需跨区域运输遗体的，丧属应当凭运输目的地民政部门出具的遗体接收证明联系殡仪馆运输遗体。</w:t>
            </w:r>
          </w:p>
          <w:p w14:paraId="4BA304D6">
            <w:pPr>
              <w:adjustRightInd w:val="0"/>
              <w:snapToGrid w:val="0"/>
              <w:ind w:firstLine="360" w:firstLineChars="200"/>
              <w:rPr>
                <w:rFonts w:hAnsi="宋体" w:cs="宋体"/>
                <w:color w:val="000000"/>
                <w:kern w:val="0"/>
                <w:sz w:val="18"/>
                <w:szCs w:val="18"/>
                <w:lang w:val="en"/>
              </w:rPr>
            </w:pPr>
            <w:r>
              <w:rPr>
                <w:rFonts w:hAnsi="宋体" w:cs="宋体"/>
                <w:color w:val="000000"/>
                <w:kern w:val="0"/>
                <w:sz w:val="18"/>
                <w:szCs w:val="18"/>
                <w:lang w:val="en"/>
              </w:rPr>
              <w:t>需要跨国（境）运输遗体、骸骨的，按照国家有关规定办理。</w:t>
            </w:r>
          </w:p>
          <w:p w14:paraId="51D86C64">
            <w:pPr>
              <w:adjustRightInd w:val="0"/>
              <w:snapToGrid w:val="0"/>
              <w:ind w:firstLine="360" w:firstLineChars="200"/>
              <w:rPr>
                <w:rFonts w:hAnsi="宋体" w:cs="宋体"/>
                <w:color w:val="000000"/>
                <w:kern w:val="0"/>
                <w:sz w:val="21"/>
                <w:szCs w:val="21"/>
                <w:lang w:val="en"/>
              </w:rPr>
            </w:pPr>
            <w:r>
              <w:rPr>
                <w:rFonts w:hAnsi="宋体" w:cs="宋体"/>
                <w:color w:val="000000"/>
                <w:kern w:val="0"/>
                <w:sz w:val="18"/>
                <w:szCs w:val="18"/>
                <w:lang w:val="en"/>
              </w:rPr>
              <w:t>5.第三十条 身份不明、无人认领、交通事故中当场死亡以及因其他突发事件死亡等特殊情形的死亡证明出具、遗体处置的办法，由国务院民政部门会同国务院公安部门、卫生健康部门等制定。</w:t>
            </w:r>
          </w:p>
        </w:tc>
        <w:tc>
          <w:tcPr>
            <w:tcW w:w="929" w:type="pct"/>
            <w:vMerge w:val="restart"/>
            <w:shd w:val="clear" w:color="auto" w:fill="auto"/>
            <w:vAlign w:val="center"/>
          </w:tcPr>
          <w:p w14:paraId="7319B41A">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190E5B18">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五十六条：殡葬服务机构有下列情形之一的，由县级以上地方人民政府民政部门责令限期改正，给予警告，没收违法所得；没有违法所得或者违法所得不足10万元的，视情节轻重、危害程度等情况处5万元以上20万元以下的罚款；违法所得10万元以上的，处违法所得2倍以上5倍以下的罚款。对负有责任的领导人员和直接责任人员，依法给予处分：</w:t>
            </w:r>
          </w:p>
          <w:p w14:paraId="2780482F">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 xml:space="preserve">（一）违反本条例规定接运、存放、火化遗体，或者未按规定保存相关视频图像信息； </w:t>
            </w:r>
          </w:p>
        </w:tc>
        <w:tc>
          <w:tcPr>
            <w:tcW w:w="237" w:type="pct"/>
            <w:shd w:val="clear" w:color="auto" w:fill="auto"/>
            <w:noWrap/>
            <w:vAlign w:val="center"/>
          </w:tcPr>
          <w:p w14:paraId="7256918B">
            <w:pPr>
              <w:adjustRightInd w:val="0"/>
              <w:snapToGrid w:val="0"/>
              <w:jc w:val="center"/>
              <w:rPr>
                <w:rFonts w:hAnsi="宋体" w:cs="宋体"/>
                <w:color w:val="000000"/>
                <w:kern w:val="0"/>
                <w:sz w:val="21"/>
                <w:szCs w:val="21"/>
              </w:rPr>
            </w:pPr>
            <w:r>
              <w:rPr>
                <w:rFonts w:hint="eastAsia" w:hAnsi="宋体" w:cs="宋体"/>
                <w:color w:val="000000"/>
                <w:kern w:val="0"/>
                <w:sz w:val="21"/>
                <w:szCs w:val="21"/>
              </w:rPr>
              <w:t>一般处罚</w:t>
            </w:r>
          </w:p>
        </w:tc>
        <w:tc>
          <w:tcPr>
            <w:tcW w:w="1028" w:type="pct"/>
            <w:shd w:val="clear" w:color="auto" w:fill="auto"/>
            <w:noWrap/>
            <w:vAlign w:val="center"/>
          </w:tcPr>
          <w:p w14:paraId="028DE173">
            <w:pPr>
              <w:adjustRightInd w:val="0"/>
              <w:snapToGrid w:val="0"/>
              <w:rPr>
                <w:rFonts w:hAnsi="宋体" w:cs="宋体"/>
                <w:color w:val="000000"/>
                <w:kern w:val="0"/>
                <w:sz w:val="21"/>
                <w:szCs w:val="21"/>
              </w:rPr>
            </w:pPr>
            <w:r>
              <w:rPr>
                <w:rFonts w:hint="eastAsia" w:hAnsi="宋体" w:cs="宋体"/>
                <w:color w:val="000000"/>
                <w:kern w:val="0"/>
                <w:sz w:val="21"/>
                <w:szCs w:val="21"/>
              </w:rPr>
              <w:t>违法所得10万元以上不足</w:t>
            </w:r>
            <w:r>
              <w:rPr>
                <w:rFonts w:hAnsi="宋体" w:cs="宋体"/>
                <w:color w:val="000000"/>
                <w:kern w:val="0"/>
                <w:sz w:val="21"/>
                <w:szCs w:val="21"/>
                <w:lang w:val="en"/>
              </w:rPr>
              <w:t>30</w:t>
            </w:r>
            <w:r>
              <w:rPr>
                <w:rFonts w:hint="eastAsia" w:hAnsi="宋体" w:cs="宋体"/>
                <w:color w:val="000000"/>
                <w:kern w:val="0"/>
                <w:sz w:val="21"/>
                <w:szCs w:val="21"/>
              </w:rPr>
              <w:t>万元的。</w:t>
            </w:r>
          </w:p>
        </w:tc>
        <w:tc>
          <w:tcPr>
            <w:tcW w:w="612" w:type="pct"/>
            <w:shd w:val="clear" w:color="auto" w:fill="auto"/>
            <w:noWrap/>
            <w:vAlign w:val="center"/>
          </w:tcPr>
          <w:p w14:paraId="525E4C51">
            <w:pPr>
              <w:adjustRightInd w:val="0"/>
              <w:snapToGrid w:val="0"/>
              <w:rPr>
                <w:rFonts w:hAnsi="宋体" w:cs="宋体"/>
                <w:color w:val="000000"/>
                <w:kern w:val="0"/>
                <w:sz w:val="21"/>
                <w:szCs w:val="21"/>
              </w:rPr>
            </w:pPr>
            <w:r>
              <w:rPr>
                <w:rFonts w:hint="eastAsia" w:hAnsi="宋体" w:cs="宋体"/>
                <w:color w:val="000000"/>
                <w:kern w:val="0"/>
                <w:sz w:val="21"/>
                <w:szCs w:val="21"/>
              </w:rPr>
              <w:t>警告，没收违法所得，处违法所得2倍以上不超过4倍的罚款。</w:t>
            </w:r>
          </w:p>
        </w:tc>
      </w:tr>
      <w:tr w14:paraId="4B410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98" w:hRule="atLeast"/>
          <w:jc w:val="center"/>
        </w:trPr>
        <w:tc>
          <w:tcPr>
            <w:tcW w:w="201" w:type="pct"/>
            <w:gridSpan w:val="2"/>
            <w:vMerge w:val="continue"/>
            <w:vAlign w:val="center"/>
          </w:tcPr>
          <w:p w14:paraId="090476C6">
            <w:pPr>
              <w:adjustRightInd w:val="0"/>
              <w:snapToGrid w:val="0"/>
            </w:pPr>
          </w:p>
        </w:tc>
        <w:tc>
          <w:tcPr>
            <w:tcW w:w="1050" w:type="pct"/>
            <w:vMerge w:val="continue"/>
            <w:shd w:val="clear" w:color="auto" w:fill="auto"/>
            <w:vAlign w:val="center"/>
          </w:tcPr>
          <w:p w14:paraId="6E4264AA">
            <w:pPr>
              <w:adjustRightInd w:val="0"/>
              <w:snapToGrid w:val="0"/>
            </w:pPr>
          </w:p>
        </w:tc>
        <w:tc>
          <w:tcPr>
            <w:tcW w:w="939" w:type="pct"/>
            <w:vMerge w:val="continue"/>
            <w:shd w:val="clear" w:color="auto" w:fill="auto"/>
            <w:vAlign w:val="center"/>
          </w:tcPr>
          <w:p w14:paraId="2AF5CDF2">
            <w:pPr>
              <w:adjustRightInd w:val="0"/>
              <w:snapToGrid w:val="0"/>
            </w:pPr>
          </w:p>
        </w:tc>
        <w:tc>
          <w:tcPr>
            <w:tcW w:w="929" w:type="pct"/>
            <w:vMerge w:val="continue"/>
            <w:shd w:val="clear" w:color="auto" w:fill="auto"/>
            <w:vAlign w:val="center"/>
          </w:tcPr>
          <w:p w14:paraId="74D0DDBA">
            <w:pPr>
              <w:adjustRightInd w:val="0"/>
              <w:snapToGrid w:val="0"/>
            </w:pPr>
          </w:p>
        </w:tc>
        <w:tc>
          <w:tcPr>
            <w:tcW w:w="237" w:type="pct"/>
            <w:shd w:val="clear" w:color="auto" w:fill="auto"/>
            <w:noWrap/>
            <w:vAlign w:val="center"/>
          </w:tcPr>
          <w:p w14:paraId="28524F8E">
            <w:pPr>
              <w:adjustRightInd w:val="0"/>
              <w:snapToGrid w:val="0"/>
              <w:jc w:val="center"/>
              <w:rPr>
                <w:rFonts w:hAnsi="宋体" w:cs="宋体"/>
                <w:color w:val="000000"/>
                <w:kern w:val="0"/>
                <w:sz w:val="21"/>
                <w:szCs w:val="21"/>
              </w:rPr>
            </w:pPr>
            <w:r>
              <w:rPr>
                <w:rFonts w:hint="eastAsia" w:hAnsi="宋体" w:cs="宋体"/>
                <w:color w:val="000000"/>
                <w:kern w:val="0"/>
                <w:sz w:val="21"/>
                <w:szCs w:val="21"/>
              </w:rPr>
              <w:t>从重处罚</w:t>
            </w:r>
          </w:p>
        </w:tc>
        <w:tc>
          <w:tcPr>
            <w:tcW w:w="1028" w:type="pct"/>
            <w:shd w:val="clear" w:color="auto" w:fill="auto"/>
            <w:noWrap/>
            <w:vAlign w:val="center"/>
          </w:tcPr>
          <w:p w14:paraId="5BD22CFC">
            <w:pPr>
              <w:adjustRightInd w:val="0"/>
              <w:snapToGrid w:val="0"/>
              <w:rPr>
                <w:rFonts w:hAnsi="宋体" w:cs="宋体"/>
                <w:color w:val="000000"/>
                <w:kern w:val="0"/>
                <w:sz w:val="21"/>
                <w:szCs w:val="21"/>
              </w:rPr>
            </w:pPr>
            <w:r>
              <w:rPr>
                <w:rFonts w:hint="eastAsia" w:hAnsi="宋体" w:cs="宋体"/>
                <w:color w:val="000000"/>
                <w:kern w:val="0"/>
                <w:sz w:val="21"/>
                <w:szCs w:val="21"/>
              </w:rPr>
              <w:t>违法所得</w:t>
            </w:r>
            <w:r>
              <w:rPr>
                <w:rFonts w:hAnsi="宋体" w:cs="宋体"/>
                <w:color w:val="000000"/>
                <w:kern w:val="0"/>
                <w:sz w:val="21"/>
                <w:szCs w:val="21"/>
                <w:lang w:val="en"/>
              </w:rPr>
              <w:t>3</w:t>
            </w:r>
            <w:r>
              <w:rPr>
                <w:rFonts w:hint="eastAsia" w:hAnsi="宋体" w:cs="宋体"/>
                <w:color w:val="000000"/>
                <w:kern w:val="0"/>
                <w:sz w:val="21"/>
                <w:szCs w:val="21"/>
              </w:rPr>
              <w:t>0万元以上的。</w:t>
            </w:r>
          </w:p>
        </w:tc>
        <w:tc>
          <w:tcPr>
            <w:tcW w:w="612" w:type="pct"/>
            <w:shd w:val="clear" w:color="auto" w:fill="auto"/>
            <w:noWrap/>
            <w:vAlign w:val="center"/>
          </w:tcPr>
          <w:p w14:paraId="77916BE4">
            <w:pPr>
              <w:adjustRightInd w:val="0"/>
              <w:snapToGrid w:val="0"/>
              <w:rPr>
                <w:rFonts w:hAnsi="宋体" w:cs="宋体"/>
                <w:color w:val="000000"/>
                <w:kern w:val="0"/>
                <w:sz w:val="21"/>
                <w:szCs w:val="21"/>
              </w:rPr>
            </w:pPr>
            <w:r>
              <w:rPr>
                <w:rFonts w:hint="eastAsia" w:hAnsi="宋体" w:cs="宋体"/>
                <w:color w:val="000000"/>
                <w:kern w:val="0"/>
                <w:sz w:val="21"/>
                <w:szCs w:val="21"/>
              </w:rPr>
              <w:t>警告，没收违法所得，处违法所得4倍以上5倍以下的罚款。</w:t>
            </w:r>
          </w:p>
        </w:tc>
      </w:tr>
      <w:tr w14:paraId="32F3B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021" w:hRule="atLeast"/>
          <w:jc w:val="center"/>
        </w:trPr>
        <w:tc>
          <w:tcPr>
            <w:tcW w:w="201" w:type="pct"/>
            <w:gridSpan w:val="2"/>
            <w:shd w:val="clear" w:color="auto" w:fill="auto"/>
            <w:vAlign w:val="center"/>
          </w:tcPr>
          <w:p w14:paraId="42C3F3E1">
            <w:pPr>
              <w:adjustRightInd w:val="0"/>
              <w:snapToGrid w:val="0"/>
              <w:jc w:val="center"/>
              <w:rPr>
                <w:rFonts w:hAnsi="宋体" w:cs="宋体"/>
                <w:color w:val="000000"/>
                <w:kern w:val="0"/>
                <w:sz w:val="21"/>
                <w:szCs w:val="21"/>
              </w:rPr>
            </w:pPr>
            <w:r>
              <w:rPr>
                <w:rFonts w:hint="eastAsia" w:hAnsi="宋体" w:cs="宋体"/>
                <w:color w:val="000000"/>
                <w:kern w:val="0"/>
                <w:sz w:val="21"/>
                <w:szCs w:val="21"/>
              </w:rPr>
              <w:t>100</w:t>
            </w:r>
          </w:p>
        </w:tc>
        <w:tc>
          <w:tcPr>
            <w:tcW w:w="1050" w:type="pct"/>
            <w:shd w:val="clear" w:color="auto" w:fill="auto"/>
            <w:vAlign w:val="center"/>
          </w:tcPr>
          <w:p w14:paraId="74AD7E9F">
            <w:pPr>
              <w:adjustRightInd w:val="0"/>
              <w:snapToGrid w:val="0"/>
              <w:rPr>
                <w:rFonts w:hAnsi="宋体" w:cs="宋体"/>
                <w:color w:val="000000"/>
                <w:kern w:val="0"/>
                <w:sz w:val="21"/>
                <w:szCs w:val="21"/>
              </w:rPr>
            </w:pPr>
            <w:r>
              <w:rPr>
                <w:rFonts w:hint="eastAsia" w:hAnsi="宋体" w:cs="宋体"/>
                <w:color w:val="000000"/>
                <w:kern w:val="0"/>
                <w:sz w:val="21"/>
                <w:szCs w:val="21"/>
              </w:rPr>
              <w:t>违反《殡葬管理条例》规定出具火化证明或者虚开、伪造、倒卖火化证明。</w:t>
            </w:r>
          </w:p>
        </w:tc>
        <w:tc>
          <w:tcPr>
            <w:tcW w:w="939" w:type="pct"/>
            <w:shd w:val="clear" w:color="auto" w:fill="auto"/>
            <w:vAlign w:val="center"/>
          </w:tcPr>
          <w:p w14:paraId="19CFBB4E">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7BAB4810">
            <w:pPr>
              <w:adjustRightInd w:val="0"/>
              <w:snapToGrid w:val="0"/>
              <w:ind w:firstLine="420" w:firstLineChars="200"/>
              <w:rPr>
                <w:rFonts w:hAnsi="宋体" w:cs="宋体"/>
                <w:color w:val="000000"/>
                <w:kern w:val="0"/>
                <w:sz w:val="21"/>
                <w:szCs w:val="21"/>
              </w:rPr>
            </w:pPr>
            <w:r>
              <w:rPr>
                <w:rFonts w:hAnsi="宋体" w:cs="宋体"/>
                <w:color w:val="000000"/>
                <w:kern w:val="0"/>
                <w:sz w:val="21"/>
                <w:szCs w:val="21"/>
                <w:lang w:val="en"/>
              </w:rPr>
              <w:t>第二十八条:殡仪馆应当凭死亡证明和火化确认书火化遗体，并出具火化证明。</w:t>
            </w:r>
          </w:p>
        </w:tc>
        <w:tc>
          <w:tcPr>
            <w:tcW w:w="929" w:type="pct"/>
            <w:shd w:val="clear" w:color="auto" w:fill="auto"/>
            <w:vAlign w:val="center"/>
          </w:tcPr>
          <w:p w14:paraId="39828B4F">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0E593B1A">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五十六条：殡葬服务机构有下列情形之一的，由县级以上地方人民政府民政部门责令限期改正，给予警告，没收违法所得；没有违法所得或者违法所得不足10万元的，视情节轻重、危害程度等情况处5万元以上20万元以下的罚款；违法所得10万元以上的，处违法所得2倍以上5倍以下的罚款。对负有责任的领导人员和直接责任人员，依法给予处分：</w:t>
            </w:r>
          </w:p>
          <w:p w14:paraId="46543741">
            <w:pPr>
              <w:adjustRightInd w:val="0"/>
              <w:snapToGrid w:val="0"/>
              <w:rPr>
                <w:rFonts w:hAnsi="宋体" w:cs="宋体"/>
                <w:color w:val="000000"/>
                <w:kern w:val="0"/>
                <w:sz w:val="21"/>
                <w:szCs w:val="21"/>
              </w:rPr>
            </w:pPr>
            <w:r>
              <w:rPr>
                <w:rFonts w:hint="eastAsia" w:ascii="汉仪中秀体简" w:hAnsi="汉仪中秀体简" w:eastAsia="汉仪中秀体简" w:cs="汉仪中秀体简"/>
                <w:color w:val="000000"/>
                <w:kern w:val="0"/>
                <w:sz w:val="21"/>
                <w:szCs w:val="21"/>
              </w:rPr>
              <w:t>…</w:t>
            </w:r>
          </w:p>
          <w:p w14:paraId="2F1E245F">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 xml:space="preserve">（二）违反本条例规定出具火化证明或者虚开、伪造、倒卖火化证明； </w:t>
            </w:r>
          </w:p>
        </w:tc>
        <w:tc>
          <w:tcPr>
            <w:tcW w:w="237" w:type="pct"/>
            <w:shd w:val="clear" w:color="auto" w:fill="auto"/>
            <w:noWrap/>
            <w:vAlign w:val="center"/>
          </w:tcPr>
          <w:p w14:paraId="71D3A8A0">
            <w:pPr>
              <w:adjustRightInd w:val="0"/>
              <w:snapToGrid w:val="0"/>
              <w:jc w:val="center"/>
              <w:rPr>
                <w:rFonts w:hAnsi="宋体" w:cs="宋体"/>
                <w:color w:val="000000"/>
                <w:kern w:val="0"/>
                <w:sz w:val="21"/>
                <w:szCs w:val="21"/>
              </w:rPr>
            </w:pPr>
            <w:r>
              <w:rPr>
                <w:rFonts w:hint="eastAsia" w:hAnsi="宋体" w:cs="宋体"/>
                <w:color w:val="000000"/>
                <w:kern w:val="0"/>
                <w:sz w:val="21"/>
                <w:szCs w:val="21"/>
              </w:rPr>
              <w:t>从轻处罚</w:t>
            </w:r>
          </w:p>
        </w:tc>
        <w:tc>
          <w:tcPr>
            <w:tcW w:w="1028" w:type="pct"/>
            <w:shd w:val="clear" w:color="auto" w:fill="auto"/>
            <w:noWrap/>
            <w:vAlign w:val="center"/>
          </w:tcPr>
          <w:p w14:paraId="267ABB67">
            <w:pPr>
              <w:adjustRightInd w:val="0"/>
              <w:snapToGrid w:val="0"/>
              <w:rPr>
                <w:rFonts w:hAnsi="宋体" w:cs="宋体"/>
                <w:color w:val="000000"/>
                <w:kern w:val="0"/>
                <w:sz w:val="21"/>
                <w:szCs w:val="21"/>
              </w:rPr>
            </w:pPr>
            <w:r>
              <w:rPr>
                <w:rFonts w:hint="eastAsia" w:hAnsi="宋体" w:cs="宋体"/>
                <w:color w:val="000000"/>
                <w:kern w:val="0"/>
                <w:sz w:val="21"/>
                <w:szCs w:val="21"/>
              </w:rPr>
              <w:t>没有违法所得或者违法所得不足10万元的。</w:t>
            </w:r>
          </w:p>
        </w:tc>
        <w:tc>
          <w:tcPr>
            <w:tcW w:w="612" w:type="pct"/>
            <w:shd w:val="clear" w:color="auto" w:fill="auto"/>
            <w:noWrap/>
            <w:vAlign w:val="center"/>
          </w:tcPr>
          <w:p w14:paraId="09A36359">
            <w:pPr>
              <w:adjustRightInd w:val="0"/>
              <w:snapToGrid w:val="0"/>
              <w:rPr>
                <w:rFonts w:hAnsi="宋体" w:cs="宋体"/>
                <w:color w:val="000000"/>
                <w:kern w:val="0"/>
                <w:sz w:val="21"/>
                <w:szCs w:val="21"/>
              </w:rPr>
            </w:pPr>
            <w:r>
              <w:rPr>
                <w:rFonts w:hint="eastAsia" w:hAnsi="宋体" w:cs="宋体"/>
                <w:color w:val="000000"/>
                <w:kern w:val="0"/>
                <w:sz w:val="21"/>
                <w:szCs w:val="21"/>
              </w:rPr>
              <w:t>1.情节较轻，造成较小不良社会影响的，警告，处5万元以上不超过10万元的罚款，有违法所得的一并没收违法所得；</w:t>
            </w:r>
          </w:p>
          <w:p w14:paraId="2D4EABCB">
            <w:pPr>
              <w:adjustRightInd w:val="0"/>
              <w:snapToGrid w:val="0"/>
              <w:rPr>
                <w:rFonts w:hAnsi="宋体" w:cs="宋体"/>
                <w:color w:val="000000"/>
                <w:kern w:val="0"/>
                <w:sz w:val="21"/>
                <w:szCs w:val="21"/>
              </w:rPr>
            </w:pPr>
            <w:r>
              <w:rPr>
                <w:rFonts w:hint="eastAsia" w:hAnsi="宋体" w:cs="宋体"/>
                <w:color w:val="000000"/>
                <w:kern w:val="0"/>
                <w:sz w:val="21"/>
                <w:szCs w:val="21"/>
              </w:rPr>
              <w:t>2.情节较重，造成较大不良社会影响的，警告，处10万元以上不超过15万元的罚款，有违法所得的一并没收违法所得；</w:t>
            </w:r>
          </w:p>
          <w:p w14:paraId="372AADF7">
            <w:pPr>
              <w:adjustRightInd w:val="0"/>
              <w:snapToGrid w:val="0"/>
              <w:rPr>
                <w:rFonts w:hAnsi="宋体" w:cs="宋体"/>
                <w:color w:val="000000"/>
                <w:kern w:val="0"/>
                <w:sz w:val="21"/>
                <w:szCs w:val="21"/>
              </w:rPr>
            </w:pPr>
            <w:r>
              <w:rPr>
                <w:rFonts w:hint="eastAsia" w:hAnsi="宋体" w:cs="宋体"/>
                <w:color w:val="000000"/>
                <w:kern w:val="0"/>
                <w:sz w:val="21"/>
                <w:szCs w:val="21"/>
              </w:rPr>
              <w:t>3.情节严重，造成严重不良社会影响的，警告，处15万元以上20万元以下的罚款，有违法所得的一并没收违法所得。</w:t>
            </w:r>
          </w:p>
        </w:tc>
      </w:tr>
      <w:tr w14:paraId="1211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5" w:hRule="atLeast"/>
          <w:jc w:val="center"/>
        </w:trPr>
        <w:tc>
          <w:tcPr>
            <w:tcW w:w="201" w:type="pct"/>
            <w:gridSpan w:val="2"/>
            <w:vMerge w:val="restart"/>
            <w:shd w:val="clear" w:color="auto" w:fill="auto"/>
            <w:vAlign w:val="center"/>
          </w:tcPr>
          <w:p w14:paraId="4DFCB235">
            <w:pPr>
              <w:adjustRightInd w:val="0"/>
              <w:snapToGrid w:val="0"/>
              <w:jc w:val="center"/>
              <w:rPr>
                <w:rFonts w:hAnsi="宋体" w:cs="宋体"/>
                <w:color w:val="000000"/>
                <w:kern w:val="0"/>
                <w:sz w:val="21"/>
                <w:szCs w:val="21"/>
              </w:rPr>
            </w:pPr>
            <w:r>
              <w:rPr>
                <w:rFonts w:hint="eastAsia" w:hAnsi="宋体" w:cs="宋体"/>
                <w:color w:val="000000"/>
                <w:kern w:val="0"/>
                <w:sz w:val="21"/>
                <w:szCs w:val="21"/>
              </w:rPr>
              <w:t>100</w:t>
            </w:r>
          </w:p>
        </w:tc>
        <w:tc>
          <w:tcPr>
            <w:tcW w:w="1050" w:type="pct"/>
            <w:vMerge w:val="restart"/>
            <w:shd w:val="clear" w:color="auto" w:fill="auto"/>
            <w:vAlign w:val="center"/>
          </w:tcPr>
          <w:p w14:paraId="50072978">
            <w:pPr>
              <w:adjustRightInd w:val="0"/>
              <w:snapToGrid w:val="0"/>
              <w:rPr>
                <w:rFonts w:hAnsi="宋体" w:cs="宋体"/>
                <w:color w:val="000000"/>
                <w:kern w:val="0"/>
                <w:sz w:val="21"/>
                <w:szCs w:val="21"/>
              </w:rPr>
            </w:pPr>
            <w:r>
              <w:rPr>
                <w:rFonts w:hint="eastAsia" w:hAnsi="宋体" w:cs="宋体"/>
                <w:color w:val="000000"/>
                <w:kern w:val="0"/>
                <w:sz w:val="21"/>
                <w:szCs w:val="21"/>
              </w:rPr>
              <w:t>违反《殡葬管理条例》规定出具火化证明或者虚开、伪造、倒卖火化证明。</w:t>
            </w:r>
          </w:p>
        </w:tc>
        <w:tc>
          <w:tcPr>
            <w:tcW w:w="939" w:type="pct"/>
            <w:vMerge w:val="restart"/>
            <w:shd w:val="clear" w:color="auto" w:fill="auto"/>
            <w:vAlign w:val="center"/>
          </w:tcPr>
          <w:p w14:paraId="13BCE418">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612FC29B">
            <w:pPr>
              <w:adjustRightInd w:val="0"/>
              <w:snapToGrid w:val="0"/>
              <w:ind w:firstLine="420" w:firstLineChars="200"/>
              <w:rPr>
                <w:rFonts w:hAnsi="宋体" w:cs="宋体"/>
                <w:color w:val="000000"/>
                <w:kern w:val="0"/>
                <w:sz w:val="21"/>
                <w:szCs w:val="21"/>
                <w:lang w:val="en"/>
              </w:rPr>
            </w:pPr>
            <w:r>
              <w:rPr>
                <w:rFonts w:hAnsi="宋体" w:cs="宋体"/>
                <w:color w:val="000000"/>
                <w:kern w:val="0"/>
                <w:sz w:val="21"/>
                <w:szCs w:val="21"/>
                <w:lang w:val="en"/>
              </w:rPr>
              <w:t>第二十八条:殡仪馆应当凭死亡证明和火化确认书火化遗体，并出具火化证明。</w:t>
            </w:r>
          </w:p>
          <w:p w14:paraId="1287053F">
            <w:pPr>
              <w:adjustRightInd w:val="0"/>
              <w:snapToGrid w:val="0"/>
              <w:rPr>
                <w:rFonts w:hAnsi="宋体" w:cs="宋体"/>
                <w:color w:val="000000"/>
                <w:kern w:val="0"/>
                <w:sz w:val="21"/>
                <w:szCs w:val="21"/>
              </w:rPr>
            </w:pPr>
          </w:p>
        </w:tc>
        <w:tc>
          <w:tcPr>
            <w:tcW w:w="929" w:type="pct"/>
            <w:vMerge w:val="restart"/>
            <w:shd w:val="clear" w:color="auto" w:fill="auto"/>
            <w:vAlign w:val="center"/>
          </w:tcPr>
          <w:p w14:paraId="44530F23">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24D0E3AF">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五十六条：殡葬服务机构有下列情形之一的，由县级以上地方人民政府民政部门责令限期改正，给予警告，没收违法所得；没有违法所得或者违法所得不足10万元的，视情节轻重、危害程度等情况处5万元以上20万元以下的罚款；违法所得10万元以上的，处违法所得2倍以上5倍以下的罚款。对负有责任的领导人员和直接责任人员，依法给予处分：</w:t>
            </w:r>
          </w:p>
          <w:p w14:paraId="438776DC">
            <w:pPr>
              <w:adjustRightInd w:val="0"/>
              <w:snapToGrid w:val="0"/>
              <w:rPr>
                <w:rFonts w:hAnsi="宋体" w:cs="宋体"/>
                <w:color w:val="000000"/>
                <w:kern w:val="0"/>
                <w:sz w:val="21"/>
                <w:szCs w:val="21"/>
              </w:rPr>
            </w:pPr>
            <w:r>
              <w:rPr>
                <w:rFonts w:hint="eastAsia" w:ascii="汉仪中秀体简" w:hAnsi="汉仪中秀体简" w:eastAsia="汉仪中秀体简" w:cs="汉仪中秀体简"/>
                <w:color w:val="000000"/>
                <w:kern w:val="0"/>
                <w:sz w:val="21"/>
                <w:szCs w:val="21"/>
              </w:rPr>
              <w:t>…</w:t>
            </w:r>
          </w:p>
          <w:p w14:paraId="4D21B6C1">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 xml:space="preserve">（二）违反本条例规定出具火化证明或者虚开、伪造、倒卖火化证明； </w:t>
            </w:r>
          </w:p>
        </w:tc>
        <w:tc>
          <w:tcPr>
            <w:tcW w:w="237" w:type="pct"/>
            <w:shd w:val="clear" w:color="auto" w:fill="auto"/>
            <w:noWrap/>
            <w:vAlign w:val="center"/>
          </w:tcPr>
          <w:p w14:paraId="1A9A0152">
            <w:pPr>
              <w:adjustRightInd w:val="0"/>
              <w:snapToGrid w:val="0"/>
              <w:jc w:val="center"/>
              <w:rPr>
                <w:rFonts w:hAnsi="宋体" w:cs="宋体"/>
                <w:color w:val="000000"/>
                <w:kern w:val="0"/>
                <w:sz w:val="21"/>
                <w:szCs w:val="21"/>
              </w:rPr>
            </w:pPr>
            <w:r>
              <w:rPr>
                <w:rFonts w:hint="eastAsia" w:hAnsi="宋体" w:cs="宋体"/>
                <w:color w:val="000000"/>
                <w:kern w:val="0"/>
                <w:sz w:val="21"/>
                <w:szCs w:val="21"/>
              </w:rPr>
              <w:t>一般处罚</w:t>
            </w:r>
          </w:p>
        </w:tc>
        <w:tc>
          <w:tcPr>
            <w:tcW w:w="1028" w:type="pct"/>
            <w:shd w:val="clear" w:color="auto" w:fill="auto"/>
            <w:noWrap/>
            <w:vAlign w:val="center"/>
          </w:tcPr>
          <w:p w14:paraId="626C418F">
            <w:pPr>
              <w:adjustRightInd w:val="0"/>
              <w:snapToGrid w:val="0"/>
              <w:rPr>
                <w:rFonts w:hAnsi="宋体" w:cs="宋体"/>
                <w:color w:val="000000"/>
                <w:kern w:val="0"/>
                <w:sz w:val="21"/>
                <w:szCs w:val="21"/>
              </w:rPr>
            </w:pPr>
            <w:r>
              <w:rPr>
                <w:rFonts w:hint="eastAsia" w:hAnsi="宋体" w:cs="宋体"/>
                <w:color w:val="000000"/>
                <w:kern w:val="0"/>
                <w:sz w:val="21"/>
                <w:szCs w:val="21"/>
              </w:rPr>
              <w:t>违法所得10万元以上不足</w:t>
            </w:r>
            <w:r>
              <w:rPr>
                <w:rFonts w:hAnsi="宋体" w:cs="宋体"/>
                <w:color w:val="000000"/>
                <w:kern w:val="0"/>
                <w:sz w:val="21"/>
                <w:szCs w:val="21"/>
                <w:lang w:val="en"/>
              </w:rPr>
              <w:t>30</w:t>
            </w:r>
            <w:r>
              <w:rPr>
                <w:rFonts w:hint="eastAsia" w:hAnsi="宋体" w:cs="宋体"/>
                <w:color w:val="000000"/>
                <w:kern w:val="0"/>
                <w:sz w:val="21"/>
                <w:szCs w:val="21"/>
              </w:rPr>
              <w:t>万元的。</w:t>
            </w:r>
          </w:p>
        </w:tc>
        <w:tc>
          <w:tcPr>
            <w:tcW w:w="612" w:type="pct"/>
            <w:shd w:val="clear" w:color="auto" w:fill="auto"/>
            <w:noWrap/>
            <w:vAlign w:val="center"/>
          </w:tcPr>
          <w:p w14:paraId="286B34C9">
            <w:pPr>
              <w:adjustRightInd w:val="0"/>
              <w:snapToGrid w:val="0"/>
              <w:rPr>
                <w:rFonts w:hAnsi="宋体" w:cs="宋体"/>
                <w:color w:val="000000"/>
                <w:kern w:val="0"/>
                <w:sz w:val="21"/>
                <w:szCs w:val="21"/>
              </w:rPr>
            </w:pPr>
            <w:r>
              <w:rPr>
                <w:rFonts w:hint="eastAsia" w:hAnsi="宋体" w:cs="宋体"/>
                <w:color w:val="000000"/>
                <w:kern w:val="0"/>
                <w:sz w:val="21"/>
                <w:szCs w:val="21"/>
              </w:rPr>
              <w:t>警告，没收违法所得，处违法所得2倍以上不超过4倍的罚款。</w:t>
            </w:r>
          </w:p>
        </w:tc>
      </w:tr>
      <w:tr w14:paraId="47736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5" w:hRule="atLeast"/>
          <w:jc w:val="center"/>
        </w:trPr>
        <w:tc>
          <w:tcPr>
            <w:tcW w:w="201" w:type="pct"/>
            <w:gridSpan w:val="2"/>
            <w:vMerge w:val="continue"/>
            <w:shd w:val="clear" w:color="auto" w:fill="auto"/>
            <w:vAlign w:val="center"/>
          </w:tcPr>
          <w:p w14:paraId="3D2CFB5C">
            <w:pPr>
              <w:adjustRightInd w:val="0"/>
              <w:snapToGrid w:val="0"/>
            </w:pPr>
          </w:p>
        </w:tc>
        <w:tc>
          <w:tcPr>
            <w:tcW w:w="1050" w:type="pct"/>
            <w:vMerge w:val="continue"/>
            <w:shd w:val="clear" w:color="auto" w:fill="auto"/>
            <w:vAlign w:val="center"/>
          </w:tcPr>
          <w:p w14:paraId="25254CB4">
            <w:pPr>
              <w:adjustRightInd w:val="0"/>
              <w:snapToGrid w:val="0"/>
            </w:pPr>
          </w:p>
        </w:tc>
        <w:tc>
          <w:tcPr>
            <w:tcW w:w="939" w:type="pct"/>
            <w:vMerge w:val="continue"/>
            <w:shd w:val="clear" w:color="auto" w:fill="auto"/>
            <w:vAlign w:val="center"/>
          </w:tcPr>
          <w:p w14:paraId="1B2B422C">
            <w:pPr>
              <w:adjustRightInd w:val="0"/>
              <w:snapToGrid w:val="0"/>
            </w:pPr>
          </w:p>
        </w:tc>
        <w:tc>
          <w:tcPr>
            <w:tcW w:w="929" w:type="pct"/>
            <w:vMerge w:val="continue"/>
            <w:shd w:val="clear" w:color="auto" w:fill="auto"/>
            <w:vAlign w:val="center"/>
          </w:tcPr>
          <w:p w14:paraId="5511CED2">
            <w:pPr>
              <w:adjustRightInd w:val="0"/>
              <w:snapToGrid w:val="0"/>
            </w:pPr>
          </w:p>
        </w:tc>
        <w:tc>
          <w:tcPr>
            <w:tcW w:w="237" w:type="pct"/>
            <w:shd w:val="clear" w:color="auto" w:fill="auto"/>
            <w:noWrap/>
            <w:vAlign w:val="center"/>
          </w:tcPr>
          <w:p w14:paraId="6F3D80B1">
            <w:pPr>
              <w:adjustRightInd w:val="0"/>
              <w:snapToGrid w:val="0"/>
              <w:jc w:val="center"/>
              <w:rPr>
                <w:rFonts w:hAnsi="宋体" w:cs="宋体"/>
                <w:color w:val="000000"/>
                <w:kern w:val="0"/>
                <w:sz w:val="21"/>
                <w:szCs w:val="21"/>
              </w:rPr>
            </w:pPr>
            <w:r>
              <w:rPr>
                <w:rFonts w:hint="eastAsia" w:hAnsi="宋体" w:cs="宋体"/>
                <w:color w:val="000000"/>
                <w:kern w:val="0"/>
                <w:sz w:val="21"/>
                <w:szCs w:val="21"/>
              </w:rPr>
              <w:t>从重处罚</w:t>
            </w:r>
          </w:p>
        </w:tc>
        <w:tc>
          <w:tcPr>
            <w:tcW w:w="1028" w:type="pct"/>
            <w:shd w:val="clear" w:color="auto" w:fill="auto"/>
            <w:noWrap/>
            <w:vAlign w:val="center"/>
          </w:tcPr>
          <w:p w14:paraId="58FE8B7E">
            <w:pPr>
              <w:adjustRightInd w:val="0"/>
              <w:snapToGrid w:val="0"/>
              <w:rPr>
                <w:rFonts w:hAnsi="宋体" w:cs="宋体"/>
                <w:color w:val="000000"/>
                <w:kern w:val="0"/>
                <w:sz w:val="21"/>
                <w:szCs w:val="21"/>
              </w:rPr>
            </w:pPr>
            <w:r>
              <w:rPr>
                <w:rFonts w:hint="eastAsia" w:hAnsi="宋体" w:cs="宋体"/>
                <w:color w:val="000000"/>
                <w:kern w:val="0"/>
                <w:sz w:val="21"/>
                <w:szCs w:val="21"/>
              </w:rPr>
              <w:t>违法所得</w:t>
            </w:r>
            <w:r>
              <w:rPr>
                <w:rFonts w:hAnsi="宋体" w:cs="宋体"/>
                <w:color w:val="000000"/>
                <w:kern w:val="0"/>
                <w:sz w:val="21"/>
                <w:szCs w:val="21"/>
                <w:lang w:val="en"/>
              </w:rPr>
              <w:t>3</w:t>
            </w:r>
            <w:r>
              <w:rPr>
                <w:rFonts w:hint="eastAsia" w:hAnsi="宋体" w:cs="宋体"/>
                <w:color w:val="000000"/>
                <w:kern w:val="0"/>
                <w:sz w:val="21"/>
                <w:szCs w:val="21"/>
              </w:rPr>
              <w:t>0万元以上的。</w:t>
            </w:r>
          </w:p>
        </w:tc>
        <w:tc>
          <w:tcPr>
            <w:tcW w:w="612" w:type="pct"/>
            <w:shd w:val="clear" w:color="auto" w:fill="auto"/>
            <w:noWrap/>
            <w:vAlign w:val="center"/>
          </w:tcPr>
          <w:p w14:paraId="7312F1F0">
            <w:pPr>
              <w:adjustRightInd w:val="0"/>
              <w:snapToGrid w:val="0"/>
              <w:rPr>
                <w:rFonts w:hAnsi="宋体" w:cs="宋体"/>
                <w:color w:val="000000"/>
                <w:kern w:val="0"/>
                <w:sz w:val="21"/>
                <w:szCs w:val="21"/>
              </w:rPr>
            </w:pPr>
            <w:r>
              <w:rPr>
                <w:rFonts w:hint="eastAsia" w:hAnsi="宋体" w:cs="宋体"/>
                <w:color w:val="000000"/>
                <w:kern w:val="0"/>
                <w:sz w:val="21"/>
                <w:szCs w:val="21"/>
              </w:rPr>
              <w:t>警告，没收违法所得，处违法所得4倍以上5倍以下的罚款。</w:t>
            </w:r>
          </w:p>
        </w:tc>
      </w:tr>
      <w:tr w14:paraId="66D1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953" w:hRule="atLeast"/>
          <w:jc w:val="center"/>
        </w:trPr>
        <w:tc>
          <w:tcPr>
            <w:tcW w:w="201" w:type="pct"/>
            <w:gridSpan w:val="2"/>
            <w:shd w:val="clear" w:color="auto" w:fill="auto"/>
            <w:vAlign w:val="center"/>
          </w:tcPr>
          <w:p w14:paraId="30341FAE">
            <w:pPr>
              <w:adjustRightInd w:val="0"/>
              <w:snapToGrid w:val="0"/>
              <w:jc w:val="center"/>
              <w:rPr>
                <w:rFonts w:hAnsi="宋体" w:cs="宋体"/>
                <w:color w:val="000000"/>
                <w:kern w:val="0"/>
                <w:sz w:val="21"/>
                <w:szCs w:val="21"/>
              </w:rPr>
            </w:pPr>
            <w:r>
              <w:rPr>
                <w:rFonts w:hint="eastAsia" w:hAnsi="宋体" w:cs="宋体"/>
                <w:color w:val="000000"/>
                <w:kern w:val="0"/>
                <w:sz w:val="21"/>
                <w:szCs w:val="21"/>
              </w:rPr>
              <w:t>101</w:t>
            </w:r>
          </w:p>
        </w:tc>
        <w:tc>
          <w:tcPr>
            <w:tcW w:w="1050" w:type="pct"/>
            <w:shd w:val="clear" w:color="auto" w:fill="auto"/>
            <w:vAlign w:val="center"/>
          </w:tcPr>
          <w:p w14:paraId="64341DE6">
            <w:pPr>
              <w:adjustRightInd w:val="0"/>
              <w:snapToGrid w:val="0"/>
              <w:rPr>
                <w:rFonts w:hAnsi="宋体" w:cs="宋体"/>
                <w:color w:val="000000"/>
                <w:kern w:val="0"/>
                <w:sz w:val="21"/>
                <w:szCs w:val="21"/>
              </w:rPr>
            </w:pPr>
            <w:r>
              <w:rPr>
                <w:rFonts w:hint="eastAsia" w:hAnsi="宋体" w:cs="宋体"/>
                <w:color w:val="000000"/>
                <w:kern w:val="0"/>
                <w:sz w:val="21"/>
                <w:szCs w:val="21"/>
              </w:rPr>
              <w:t>违反《殡葬管理条例》规定提供骨灰格位、墓位，设置违背公序良俗的标志物。</w:t>
            </w:r>
          </w:p>
        </w:tc>
        <w:tc>
          <w:tcPr>
            <w:tcW w:w="939" w:type="pct"/>
            <w:shd w:val="clear" w:color="auto" w:fill="auto"/>
            <w:vAlign w:val="center"/>
          </w:tcPr>
          <w:p w14:paraId="3FCCF291">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037D6B67">
            <w:pPr>
              <w:adjustRightInd w:val="0"/>
              <w:snapToGrid w:val="0"/>
              <w:ind w:firstLine="420" w:firstLineChars="200"/>
              <w:rPr>
                <w:rFonts w:hAnsi="宋体" w:cs="宋体"/>
                <w:color w:val="000000"/>
                <w:kern w:val="0"/>
                <w:sz w:val="21"/>
                <w:szCs w:val="21"/>
              </w:rPr>
            </w:pPr>
            <w:r>
              <w:rPr>
                <w:rFonts w:hAnsi="宋体" w:cs="宋体"/>
                <w:color w:val="000000"/>
                <w:kern w:val="0"/>
                <w:sz w:val="21"/>
                <w:szCs w:val="21"/>
                <w:lang w:val="en"/>
              </w:rPr>
              <w:t>第</w:t>
            </w:r>
            <w:r>
              <w:rPr>
                <w:rFonts w:hint="eastAsia" w:hAnsi="宋体" w:cs="宋体"/>
                <w:color w:val="000000"/>
                <w:kern w:val="0"/>
                <w:sz w:val="21"/>
                <w:szCs w:val="21"/>
                <w:lang w:val="en"/>
              </w:rPr>
              <w:t>三十五</w:t>
            </w:r>
            <w:r>
              <w:rPr>
                <w:rFonts w:hAnsi="宋体" w:cs="宋体"/>
                <w:color w:val="000000"/>
                <w:kern w:val="0"/>
                <w:sz w:val="21"/>
                <w:szCs w:val="21"/>
                <w:lang w:val="en"/>
              </w:rPr>
              <w:t>条:骨灰堂、公墓应当凭死亡证明、火化证明等有关证明材料提供骨灰格位、公墓墓位。为高龄老人、危重病人等提供骨灰格位、公墓墓位的除外。</w:t>
            </w:r>
          </w:p>
        </w:tc>
        <w:tc>
          <w:tcPr>
            <w:tcW w:w="929" w:type="pct"/>
            <w:shd w:val="clear" w:color="auto" w:fill="auto"/>
            <w:vAlign w:val="center"/>
          </w:tcPr>
          <w:p w14:paraId="5CEC2163">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7FE5EA08">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五十六条：殡葬服务机构有下列情形之一的，由县级以上地方人民政府民政部门责令限期改正，给予警告，没收违法所得；没有违法所得或者违法所得不足10万元的，视情节轻重、危害程度等情况处5万元以上20万元以下的罚款；违法所得10万元以上的，处违法所得2倍以上5倍以下的罚款。对负有责任的领导人员和直接责任人员，依法给予处分：</w:t>
            </w:r>
          </w:p>
          <w:p w14:paraId="6DEE33C8">
            <w:pPr>
              <w:adjustRightInd w:val="0"/>
              <w:snapToGrid w:val="0"/>
              <w:rPr>
                <w:rFonts w:hAnsi="宋体" w:cs="宋体"/>
                <w:color w:val="000000"/>
                <w:kern w:val="0"/>
                <w:sz w:val="21"/>
                <w:szCs w:val="21"/>
              </w:rPr>
            </w:pPr>
            <w:r>
              <w:rPr>
                <w:rFonts w:hint="eastAsia" w:ascii="汉仪中秀体简" w:hAnsi="汉仪中秀体简" w:eastAsia="汉仪中秀体简" w:cs="汉仪中秀体简"/>
                <w:color w:val="000000"/>
                <w:kern w:val="0"/>
                <w:sz w:val="21"/>
                <w:szCs w:val="21"/>
              </w:rPr>
              <w:t>…</w:t>
            </w:r>
          </w:p>
          <w:p w14:paraId="01C9457D">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 xml:space="preserve">（三）违反本条例规定提供骨灰格位、墓位，设置违背公序良俗的标志物； </w:t>
            </w:r>
          </w:p>
        </w:tc>
        <w:tc>
          <w:tcPr>
            <w:tcW w:w="237" w:type="pct"/>
            <w:shd w:val="clear" w:color="auto" w:fill="auto"/>
            <w:noWrap/>
            <w:vAlign w:val="center"/>
          </w:tcPr>
          <w:p w14:paraId="635291C1">
            <w:pPr>
              <w:adjustRightInd w:val="0"/>
              <w:snapToGrid w:val="0"/>
              <w:jc w:val="center"/>
              <w:rPr>
                <w:rFonts w:hAnsi="宋体" w:cs="宋体"/>
                <w:color w:val="000000"/>
                <w:kern w:val="0"/>
                <w:sz w:val="21"/>
                <w:szCs w:val="21"/>
              </w:rPr>
            </w:pPr>
            <w:r>
              <w:rPr>
                <w:rFonts w:hint="eastAsia" w:hAnsi="宋体" w:cs="宋体"/>
                <w:color w:val="000000"/>
                <w:kern w:val="0"/>
                <w:sz w:val="21"/>
                <w:szCs w:val="21"/>
              </w:rPr>
              <w:t>从轻处罚</w:t>
            </w:r>
          </w:p>
        </w:tc>
        <w:tc>
          <w:tcPr>
            <w:tcW w:w="1028" w:type="pct"/>
            <w:shd w:val="clear" w:color="auto" w:fill="auto"/>
            <w:noWrap/>
            <w:vAlign w:val="center"/>
          </w:tcPr>
          <w:p w14:paraId="471EF5AD">
            <w:pPr>
              <w:adjustRightInd w:val="0"/>
              <w:snapToGrid w:val="0"/>
              <w:rPr>
                <w:rFonts w:hAnsi="宋体" w:cs="宋体"/>
                <w:color w:val="000000"/>
                <w:kern w:val="0"/>
                <w:sz w:val="21"/>
                <w:szCs w:val="21"/>
              </w:rPr>
            </w:pPr>
            <w:r>
              <w:rPr>
                <w:rFonts w:hint="eastAsia" w:hAnsi="宋体" w:cs="宋体"/>
                <w:color w:val="000000"/>
                <w:kern w:val="0"/>
                <w:sz w:val="21"/>
                <w:szCs w:val="21"/>
              </w:rPr>
              <w:t>没有违法所得或者违法所得不足10万元的。</w:t>
            </w:r>
          </w:p>
        </w:tc>
        <w:tc>
          <w:tcPr>
            <w:tcW w:w="612" w:type="pct"/>
            <w:shd w:val="clear" w:color="auto" w:fill="auto"/>
            <w:noWrap/>
            <w:vAlign w:val="center"/>
          </w:tcPr>
          <w:p w14:paraId="1BCA6B2E">
            <w:pPr>
              <w:adjustRightInd w:val="0"/>
              <w:snapToGrid w:val="0"/>
              <w:rPr>
                <w:rFonts w:hAnsi="宋体" w:cs="宋体"/>
                <w:color w:val="000000"/>
                <w:kern w:val="0"/>
                <w:sz w:val="21"/>
                <w:szCs w:val="21"/>
              </w:rPr>
            </w:pPr>
            <w:r>
              <w:rPr>
                <w:rFonts w:hint="eastAsia" w:hAnsi="宋体" w:cs="宋体"/>
                <w:color w:val="000000"/>
                <w:kern w:val="0"/>
                <w:sz w:val="21"/>
                <w:szCs w:val="21"/>
              </w:rPr>
              <w:t>1.情节较轻，造成较小不良社会影响的，警告，处5万元以上不超过10万元的罚款，有违法所得的一并没收违法所得；</w:t>
            </w:r>
          </w:p>
          <w:p w14:paraId="1147167C">
            <w:pPr>
              <w:adjustRightInd w:val="0"/>
              <w:snapToGrid w:val="0"/>
              <w:rPr>
                <w:rFonts w:hAnsi="宋体" w:cs="宋体"/>
                <w:color w:val="000000"/>
                <w:kern w:val="0"/>
                <w:sz w:val="21"/>
                <w:szCs w:val="21"/>
              </w:rPr>
            </w:pPr>
            <w:r>
              <w:rPr>
                <w:rFonts w:hint="eastAsia" w:hAnsi="宋体" w:cs="宋体"/>
                <w:color w:val="000000"/>
                <w:kern w:val="0"/>
                <w:sz w:val="21"/>
                <w:szCs w:val="21"/>
              </w:rPr>
              <w:t>2.情节较重，造成较大不良社会影响的，警告，处10万元以上不超过15万元的罚款，有违法所得的一并没收违法所得；</w:t>
            </w:r>
          </w:p>
          <w:p w14:paraId="48D2731A">
            <w:pPr>
              <w:adjustRightInd w:val="0"/>
              <w:snapToGrid w:val="0"/>
              <w:rPr>
                <w:rFonts w:hAnsi="宋体" w:cs="宋体"/>
                <w:color w:val="000000"/>
                <w:kern w:val="0"/>
                <w:sz w:val="21"/>
                <w:szCs w:val="21"/>
              </w:rPr>
            </w:pPr>
            <w:r>
              <w:rPr>
                <w:rFonts w:hint="eastAsia" w:hAnsi="宋体" w:cs="宋体"/>
                <w:color w:val="000000"/>
                <w:kern w:val="0"/>
                <w:sz w:val="21"/>
                <w:szCs w:val="21"/>
              </w:rPr>
              <w:t>3.情节严重，造成严重不良社会影响的，警告，处15万元以上20万元以下的罚款，有违法所得的一并没收违法所得。</w:t>
            </w:r>
          </w:p>
        </w:tc>
      </w:tr>
      <w:tr w14:paraId="7A77F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80" w:hRule="atLeast"/>
          <w:jc w:val="center"/>
        </w:trPr>
        <w:tc>
          <w:tcPr>
            <w:tcW w:w="201" w:type="pct"/>
            <w:gridSpan w:val="2"/>
            <w:vMerge w:val="restart"/>
            <w:shd w:val="clear" w:color="auto" w:fill="auto"/>
            <w:vAlign w:val="center"/>
          </w:tcPr>
          <w:p w14:paraId="25649B1A">
            <w:pPr>
              <w:adjustRightInd w:val="0"/>
              <w:snapToGrid w:val="0"/>
              <w:jc w:val="center"/>
              <w:rPr>
                <w:rFonts w:hAnsi="宋体" w:cs="宋体"/>
                <w:color w:val="000000"/>
                <w:kern w:val="0"/>
                <w:sz w:val="21"/>
                <w:szCs w:val="21"/>
              </w:rPr>
            </w:pPr>
            <w:r>
              <w:rPr>
                <w:rFonts w:hint="eastAsia" w:hAnsi="宋体" w:cs="宋体"/>
                <w:color w:val="000000"/>
                <w:kern w:val="0"/>
                <w:sz w:val="21"/>
                <w:szCs w:val="21"/>
              </w:rPr>
              <w:t>101</w:t>
            </w:r>
          </w:p>
        </w:tc>
        <w:tc>
          <w:tcPr>
            <w:tcW w:w="1050" w:type="pct"/>
            <w:vMerge w:val="restart"/>
            <w:shd w:val="clear" w:color="auto" w:fill="auto"/>
            <w:vAlign w:val="center"/>
          </w:tcPr>
          <w:p w14:paraId="4A6B0F3C">
            <w:pPr>
              <w:adjustRightInd w:val="0"/>
              <w:snapToGrid w:val="0"/>
              <w:rPr>
                <w:rFonts w:hAnsi="宋体" w:cs="宋体"/>
                <w:color w:val="000000"/>
                <w:kern w:val="0"/>
                <w:sz w:val="21"/>
                <w:szCs w:val="21"/>
              </w:rPr>
            </w:pPr>
            <w:r>
              <w:rPr>
                <w:rFonts w:hint="eastAsia" w:hAnsi="宋体" w:cs="宋体"/>
                <w:color w:val="000000"/>
                <w:kern w:val="0"/>
                <w:sz w:val="21"/>
                <w:szCs w:val="21"/>
              </w:rPr>
              <w:t>违反《殡葬管理条例》规定提供骨灰格位、墓位，设置违背公序良俗的标志物。</w:t>
            </w:r>
          </w:p>
        </w:tc>
        <w:tc>
          <w:tcPr>
            <w:tcW w:w="939" w:type="pct"/>
            <w:vMerge w:val="restart"/>
            <w:shd w:val="clear" w:color="auto" w:fill="auto"/>
            <w:vAlign w:val="center"/>
          </w:tcPr>
          <w:p w14:paraId="55002A6B">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3C216B86">
            <w:pPr>
              <w:adjustRightInd w:val="0"/>
              <w:snapToGrid w:val="0"/>
              <w:ind w:firstLine="420" w:firstLineChars="200"/>
              <w:rPr>
                <w:rFonts w:hAnsi="宋体" w:cs="宋体"/>
                <w:color w:val="000000"/>
                <w:kern w:val="0"/>
                <w:sz w:val="21"/>
                <w:szCs w:val="21"/>
              </w:rPr>
            </w:pPr>
            <w:r>
              <w:rPr>
                <w:rFonts w:hAnsi="宋体" w:cs="宋体"/>
                <w:color w:val="000000"/>
                <w:kern w:val="0"/>
                <w:sz w:val="21"/>
                <w:szCs w:val="21"/>
                <w:lang w:val="en"/>
              </w:rPr>
              <w:t>第</w:t>
            </w:r>
            <w:r>
              <w:rPr>
                <w:rFonts w:hint="eastAsia" w:hAnsi="宋体" w:cs="宋体"/>
                <w:color w:val="000000"/>
                <w:kern w:val="0"/>
                <w:sz w:val="21"/>
                <w:szCs w:val="21"/>
                <w:lang w:val="en"/>
              </w:rPr>
              <w:t>三十五</w:t>
            </w:r>
            <w:r>
              <w:rPr>
                <w:rFonts w:hAnsi="宋体" w:cs="宋体"/>
                <w:color w:val="000000"/>
                <w:kern w:val="0"/>
                <w:sz w:val="21"/>
                <w:szCs w:val="21"/>
                <w:lang w:val="en"/>
              </w:rPr>
              <w:t>条:骨灰堂、公墓应当凭死亡证明、火化证明等有关证明材料提供骨灰格位、公墓墓位。为高龄老人、危重病人等提供骨灰格位、公墓墓位的除外。</w:t>
            </w:r>
          </w:p>
        </w:tc>
        <w:tc>
          <w:tcPr>
            <w:tcW w:w="929" w:type="pct"/>
            <w:vMerge w:val="restart"/>
            <w:shd w:val="clear" w:color="auto" w:fill="auto"/>
            <w:vAlign w:val="center"/>
          </w:tcPr>
          <w:p w14:paraId="3980B76C">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14879265">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五十六条：殡葬服务机构有下列情形之一的，由县级以上地方人民政府民政部门责令限期改正，给予警告，没收违法所得；没有违法所得或者违法所得不足10万元的，视情节轻重、危害程度等情况处5万元以上20万元以下的罚款；违法所得10万元以上的，处违法所得2倍以上5倍以下的罚款。对负有责任的领导人员和直接责任人员，依法给予处分：</w:t>
            </w:r>
          </w:p>
          <w:p w14:paraId="0187554C">
            <w:pPr>
              <w:adjustRightInd w:val="0"/>
              <w:snapToGrid w:val="0"/>
              <w:rPr>
                <w:rFonts w:hAnsi="宋体" w:cs="宋体"/>
                <w:color w:val="000000"/>
                <w:kern w:val="0"/>
                <w:sz w:val="21"/>
                <w:szCs w:val="21"/>
              </w:rPr>
            </w:pPr>
            <w:r>
              <w:rPr>
                <w:rFonts w:hint="eastAsia" w:ascii="汉仪中秀体简" w:hAnsi="汉仪中秀体简" w:eastAsia="汉仪中秀体简" w:cs="汉仪中秀体简"/>
                <w:color w:val="000000"/>
                <w:kern w:val="0"/>
                <w:sz w:val="21"/>
                <w:szCs w:val="21"/>
              </w:rPr>
              <w:t>…</w:t>
            </w:r>
          </w:p>
          <w:p w14:paraId="452D30C2">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 xml:space="preserve">（三）违反本条例规定提供骨灰格位、墓位，设置违背公序良俗的标志物； </w:t>
            </w:r>
          </w:p>
        </w:tc>
        <w:tc>
          <w:tcPr>
            <w:tcW w:w="237" w:type="pct"/>
            <w:shd w:val="clear" w:color="auto" w:fill="auto"/>
            <w:noWrap/>
            <w:vAlign w:val="center"/>
          </w:tcPr>
          <w:p w14:paraId="1CBAAF7E">
            <w:pPr>
              <w:adjustRightInd w:val="0"/>
              <w:snapToGrid w:val="0"/>
              <w:jc w:val="center"/>
              <w:rPr>
                <w:rFonts w:hAnsi="宋体" w:cs="宋体"/>
                <w:color w:val="000000"/>
                <w:kern w:val="0"/>
                <w:sz w:val="21"/>
                <w:szCs w:val="21"/>
              </w:rPr>
            </w:pPr>
            <w:r>
              <w:rPr>
                <w:rFonts w:hint="eastAsia" w:hAnsi="宋体" w:cs="宋体"/>
                <w:color w:val="000000"/>
                <w:kern w:val="0"/>
                <w:sz w:val="21"/>
                <w:szCs w:val="21"/>
              </w:rPr>
              <w:t>一般处罚</w:t>
            </w:r>
          </w:p>
        </w:tc>
        <w:tc>
          <w:tcPr>
            <w:tcW w:w="1028" w:type="pct"/>
            <w:shd w:val="clear" w:color="auto" w:fill="auto"/>
            <w:noWrap/>
            <w:vAlign w:val="center"/>
          </w:tcPr>
          <w:p w14:paraId="3E0C13C8">
            <w:pPr>
              <w:adjustRightInd w:val="0"/>
              <w:snapToGrid w:val="0"/>
              <w:rPr>
                <w:rFonts w:hAnsi="宋体" w:cs="宋体"/>
                <w:color w:val="000000"/>
                <w:kern w:val="0"/>
                <w:sz w:val="21"/>
                <w:szCs w:val="21"/>
              </w:rPr>
            </w:pPr>
            <w:r>
              <w:rPr>
                <w:rFonts w:hint="eastAsia" w:hAnsi="宋体" w:cs="宋体"/>
                <w:color w:val="000000"/>
                <w:kern w:val="0"/>
                <w:sz w:val="21"/>
                <w:szCs w:val="21"/>
              </w:rPr>
              <w:t>违法所得10万元以上不足</w:t>
            </w:r>
            <w:r>
              <w:rPr>
                <w:rFonts w:hAnsi="宋体" w:cs="宋体"/>
                <w:color w:val="000000"/>
                <w:kern w:val="0"/>
                <w:sz w:val="21"/>
                <w:szCs w:val="21"/>
                <w:lang w:val="en"/>
              </w:rPr>
              <w:t>30</w:t>
            </w:r>
            <w:r>
              <w:rPr>
                <w:rFonts w:hint="eastAsia" w:hAnsi="宋体" w:cs="宋体"/>
                <w:color w:val="000000"/>
                <w:kern w:val="0"/>
                <w:sz w:val="21"/>
                <w:szCs w:val="21"/>
              </w:rPr>
              <w:t>万元的。</w:t>
            </w:r>
          </w:p>
        </w:tc>
        <w:tc>
          <w:tcPr>
            <w:tcW w:w="612" w:type="pct"/>
            <w:shd w:val="clear" w:color="auto" w:fill="auto"/>
            <w:noWrap/>
            <w:vAlign w:val="center"/>
          </w:tcPr>
          <w:p w14:paraId="627F7492">
            <w:pPr>
              <w:adjustRightInd w:val="0"/>
              <w:snapToGrid w:val="0"/>
              <w:rPr>
                <w:rFonts w:hAnsi="宋体" w:cs="宋体"/>
                <w:color w:val="000000"/>
                <w:kern w:val="0"/>
                <w:sz w:val="21"/>
                <w:szCs w:val="21"/>
              </w:rPr>
            </w:pPr>
            <w:r>
              <w:rPr>
                <w:rFonts w:hint="eastAsia" w:hAnsi="宋体" w:cs="宋体"/>
                <w:color w:val="000000"/>
                <w:kern w:val="0"/>
                <w:sz w:val="21"/>
                <w:szCs w:val="21"/>
              </w:rPr>
              <w:t>警告，没收违法所得，处违法所得2倍以上不超过4倍的罚款。</w:t>
            </w:r>
          </w:p>
        </w:tc>
      </w:tr>
      <w:tr w14:paraId="05464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80" w:hRule="atLeast"/>
          <w:jc w:val="center"/>
        </w:trPr>
        <w:tc>
          <w:tcPr>
            <w:tcW w:w="201" w:type="pct"/>
            <w:gridSpan w:val="2"/>
            <w:vMerge w:val="continue"/>
            <w:shd w:val="clear" w:color="auto" w:fill="auto"/>
            <w:vAlign w:val="center"/>
          </w:tcPr>
          <w:p w14:paraId="666608C3">
            <w:pPr>
              <w:adjustRightInd w:val="0"/>
              <w:snapToGrid w:val="0"/>
            </w:pPr>
          </w:p>
        </w:tc>
        <w:tc>
          <w:tcPr>
            <w:tcW w:w="1050" w:type="pct"/>
            <w:vMerge w:val="continue"/>
            <w:shd w:val="clear" w:color="auto" w:fill="auto"/>
            <w:vAlign w:val="center"/>
          </w:tcPr>
          <w:p w14:paraId="7E8CD777">
            <w:pPr>
              <w:adjustRightInd w:val="0"/>
              <w:snapToGrid w:val="0"/>
            </w:pPr>
          </w:p>
        </w:tc>
        <w:tc>
          <w:tcPr>
            <w:tcW w:w="939" w:type="pct"/>
            <w:vMerge w:val="continue"/>
            <w:shd w:val="clear" w:color="auto" w:fill="auto"/>
            <w:vAlign w:val="center"/>
          </w:tcPr>
          <w:p w14:paraId="46849361">
            <w:pPr>
              <w:adjustRightInd w:val="0"/>
              <w:snapToGrid w:val="0"/>
            </w:pPr>
          </w:p>
        </w:tc>
        <w:tc>
          <w:tcPr>
            <w:tcW w:w="929" w:type="pct"/>
            <w:vMerge w:val="continue"/>
            <w:shd w:val="clear" w:color="auto" w:fill="auto"/>
            <w:vAlign w:val="center"/>
          </w:tcPr>
          <w:p w14:paraId="0CC2D8DC">
            <w:pPr>
              <w:adjustRightInd w:val="0"/>
              <w:snapToGrid w:val="0"/>
            </w:pPr>
          </w:p>
        </w:tc>
        <w:tc>
          <w:tcPr>
            <w:tcW w:w="237" w:type="pct"/>
            <w:shd w:val="clear" w:color="auto" w:fill="auto"/>
            <w:noWrap/>
            <w:vAlign w:val="center"/>
          </w:tcPr>
          <w:p w14:paraId="46C377F8">
            <w:pPr>
              <w:adjustRightInd w:val="0"/>
              <w:snapToGrid w:val="0"/>
              <w:jc w:val="center"/>
              <w:rPr>
                <w:rFonts w:hAnsi="宋体" w:cs="宋体"/>
                <w:color w:val="000000"/>
                <w:kern w:val="0"/>
                <w:sz w:val="21"/>
                <w:szCs w:val="21"/>
              </w:rPr>
            </w:pPr>
            <w:r>
              <w:rPr>
                <w:rFonts w:hint="eastAsia" w:hAnsi="宋体" w:cs="宋体"/>
                <w:color w:val="000000"/>
                <w:kern w:val="0"/>
                <w:sz w:val="21"/>
                <w:szCs w:val="21"/>
              </w:rPr>
              <w:t>从重处罚</w:t>
            </w:r>
          </w:p>
        </w:tc>
        <w:tc>
          <w:tcPr>
            <w:tcW w:w="1028" w:type="pct"/>
            <w:shd w:val="clear" w:color="auto" w:fill="auto"/>
            <w:noWrap/>
            <w:vAlign w:val="center"/>
          </w:tcPr>
          <w:p w14:paraId="78F40EE4">
            <w:pPr>
              <w:adjustRightInd w:val="0"/>
              <w:snapToGrid w:val="0"/>
              <w:rPr>
                <w:rFonts w:hAnsi="宋体" w:cs="宋体"/>
                <w:color w:val="000000"/>
                <w:kern w:val="0"/>
                <w:sz w:val="21"/>
                <w:szCs w:val="21"/>
              </w:rPr>
            </w:pPr>
            <w:r>
              <w:rPr>
                <w:rFonts w:hint="eastAsia" w:hAnsi="宋体" w:cs="宋体"/>
                <w:color w:val="000000"/>
                <w:kern w:val="0"/>
                <w:sz w:val="21"/>
                <w:szCs w:val="21"/>
              </w:rPr>
              <w:t>违法所得</w:t>
            </w:r>
            <w:r>
              <w:rPr>
                <w:rFonts w:hAnsi="宋体" w:cs="宋体"/>
                <w:color w:val="000000"/>
                <w:kern w:val="0"/>
                <w:sz w:val="21"/>
                <w:szCs w:val="21"/>
                <w:lang w:val="en"/>
              </w:rPr>
              <w:t>3</w:t>
            </w:r>
            <w:r>
              <w:rPr>
                <w:rFonts w:hint="eastAsia" w:hAnsi="宋体" w:cs="宋体"/>
                <w:color w:val="000000"/>
                <w:kern w:val="0"/>
                <w:sz w:val="21"/>
                <w:szCs w:val="21"/>
              </w:rPr>
              <w:t>0万元以上的。</w:t>
            </w:r>
          </w:p>
        </w:tc>
        <w:tc>
          <w:tcPr>
            <w:tcW w:w="612" w:type="pct"/>
            <w:shd w:val="clear" w:color="auto" w:fill="auto"/>
            <w:noWrap/>
            <w:vAlign w:val="center"/>
          </w:tcPr>
          <w:p w14:paraId="7E1DE98A">
            <w:pPr>
              <w:adjustRightInd w:val="0"/>
              <w:snapToGrid w:val="0"/>
              <w:rPr>
                <w:rFonts w:hAnsi="宋体" w:cs="宋体"/>
                <w:color w:val="000000"/>
                <w:kern w:val="0"/>
                <w:sz w:val="21"/>
                <w:szCs w:val="21"/>
              </w:rPr>
            </w:pPr>
            <w:r>
              <w:rPr>
                <w:rFonts w:hint="eastAsia" w:hAnsi="宋体" w:cs="宋体"/>
                <w:color w:val="000000"/>
                <w:kern w:val="0"/>
                <w:sz w:val="21"/>
                <w:szCs w:val="21"/>
              </w:rPr>
              <w:t>警告，没收违法所得，处违法所得4倍以上5倍以下的罚款。</w:t>
            </w:r>
          </w:p>
        </w:tc>
      </w:tr>
      <w:tr w14:paraId="62D5F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653" w:hRule="atLeast"/>
          <w:jc w:val="center"/>
        </w:trPr>
        <w:tc>
          <w:tcPr>
            <w:tcW w:w="201" w:type="pct"/>
            <w:gridSpan w:val="2"/>
            <w:vMerge w:val="restart"/>
            <w:shd w:val="clear" w:color="auto" w:fill="auto"/>
            <w:vAlign w:val="center"/>
          </w:tcPr>
          <w:p w14:paraId="55B2E9E6">
            <w:pPr>
              <w:adjustRightInd w:val="0"/>
              <w:snapToGrid w:val="0"/>
              <w:jc w:val="center"/>
            </w:pPr>
            <w:r>
              <w:rPr>
                <w:rFonts w:hint="eastAsia" w:hAnsi="宋体" w:cs="宋体"/>
                <w:color w:val="000000"/>
                <w:kern w:val="0"/>
                <w:sz w:val="21"/>
                <w:szCs w:val="21"/>
              </w:rPr>
              <w:t>102</w:t>
            </w:r>
          </w:p>
        </w:tc>
        <w:tc>
          <w:tcPr>
            <w:tcW w:w="1050" w:type="pct"/>
            <w:vMerge w:val="restart"/>
            <w:shd w:val="clear" w:color="auto" w:fill="auto"/>
            <w:vAlign w:val="center"/>
          </w:tcPr>
          <w:p w14:paraId="6474ACF6">
            <w:pPr>
              <w:adjustRightInd w:val="0"/>
              <w:snapToGrid w:val="0"/>
            </w:pPr>
            <w:r>
              <w:rPr>
                <w:rFonts w:hint="eastAsia" w:hAnsi="宋体" w:cs="宋体"/>
                <w:color w:val="000000"/>
                <w:kern w:val="0"/>
                <w:sz w:val="21"/>
                <w:szCs w:val="21"/>
              </w:rPr>
              <w:t>未按照《殡葬管理条例》规定报送年度工作报告、财务审计报告或者接受监督检查。</w:t>
            </w:r>
          </w:p>
        </w:tc>
        <w:tc>
          <w:tcPr>
            <w:tcW w:w="939" w:type="pct"/>
            <w:vMerge w:val="restart"/>
            <w:shd w:val="clear" w:color="auto" w:fill="auto"/>
            <w:vAlign w:val="center"/>
          </w:tcPr>
          <w:p w14:paraId="50D3170D">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6851917C">
            <w:pPr>
              <w:adjustRightInd w:val="0"/>
              <w:snapToGrid w:val="0"/>
              <w:ind w:firstLine="420" w:firstLineChars="200"/>
              <w:rPr>
                <w:rFonts w:hAnsi="宋体" w:cs="宋体"/>
                <w:color w:val="000000"/>
                <w:kern w:val="0"/>
                <w:sz w:val="21"/>
                <w:szCs w:val="21"/>
                <w:lang w:val="en"/>
              </w:rPr>
            </w:pPr>
            <w:r>
              <w:rPr>
                <w:rFonts w:hint="eastAsia" w:hAnsi="宋体" w:cs="宋体"/>
                <w:color w:val="000000"/>
                <w:kern w:val="0"/>
                <w:sz w:val="21"/>
                <w:szCs w:val="21"/>
                <w:lang w:val="en"/>
              </w:rPr>
              <w:t>第四十七条　县级以上地方人民政府应当制定涵盖殡葬活动全链条的监管事项清单，加强部门间情况通报和执法协作配合。县级以上地方人民政府民政部门和有关部门应当依法履行职责，对殡葬活动进行监督检查。</w:t>
            </w:r>
          </w:p>
          <w:p w14:paraId="4795F5E1">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lang w:val="en"/>
              </w:rPr>
              <w:t>第四十九条　县级以上地方人民政府民政部门应当建立健全对殡葬设施建设运营、公墓安葬标准、丧事活动管理等事项的随机抽查机制。抽查情况以及查处结果应当书面告知被抽查对象，并依法向社会公开。</w:t>
            </w:r>
          </w:p>
          <w:p w14:paraId="43C5E763">
            <w:pPr>
              <w:adjustRightInd w:val="0"/>
              <w:snapToGrid w:val="0"/>
              <w:ind w:firstLine="420" w:firstLineChars="200"/>
            </w:pPr>
            <w:r>
              <w:rPr>
                <w:rFonts w:hAnsi="宋体" w:cs="宋体"/>
                <w:color w:val="000000"/>
                <w:kern w:val="0"/>
                <w:sz w:val="21"/>
                <w:szCs w:val="21"/>
                <w:lang w:val="en"/>
              </w:rPr>
              <w:t>第</w:t>
            </w:r>
            <w:r>
              <w:rPr>
                <w:rFonts w:hint="eastAsia" w:hAnsi="宋体" w:cs="宋体"/>
                <w:color w:val="000000"/>
                <w:kern w:val="0"/>
                <w:sz w:val="21"/>
                <w:szCs w:val="21"/>
                <w:lang w:val="en"/>
              </w:rPr>
              <w:t>五十二</w:t>
            </w:r>
            <w:r>
              <w:rPr>
                <w:rFonts w:hAnsi="宋体" w:cs="宋体"/>
                <w:color w:val="000000"/>
                <w:kern w:val="0"/>
                <w:sz w:val="21"/>
                <w:szCs w:val="21"/>
                <w:lang w:val="en"/>
              </w:rPr>
              <w:t>条:殡葬服务机构应当每年向所属的民政部门报送年度工作报告、财务审计报告。年度工作报告应当包括日常运营、服务管理、安全生产、接受奖惩等情况。上一级民政部门可以通过抽查年度工作报告、财务审计报告的方式，对殡葬服务机构实施监督检查。</w:t>
            </w:r>
          </w:p>
        </w:tc>
        <w:tc>
          <w:tcPr>
            <w:tcW w:w="929" w:type="pct"/>
            <w:vMerge w:val="restart"/>
            <w:shd w:val="clear" w:color="auto" w:fill="auto"/>
            <w:vAlign w:val="center"/>
          </w:tcPr>
          <w:p w14:paraId="446DB182">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216F9273">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五十六条：殡葬服务机构有下列情形之一的，由县级以上地方人民政府民政部门责令限期改正，给予警告，没收违法所得；没有违法所得或者违法所得不足10万元的，视情节轻重、危害程度等情况处5万元以上20万元以下的罚款；违法所得10万元以上的，处违法所得2倍以上5倍以下的罚款。对负有责任的领导人员和直接责任人员，依法给予处分：</w:t>
            </w:r>
          </w:p>
          <w:p w14:paraId="439EA162">
            <w:pPr>
              <w:adjustRightInd w:val="0"/>
              <w:snapToGrid w:val="0"/>
              <w:rPr>
                <w:rFonts w:hAnsi="宋体" w:cs="宋体"/>
                <w:color w:val="000000"/>
                <w:kern w:val="0"/>
                <w:sz w:val="21"/>
                <w:szCs w:val="21"/>
              </w:rPr>
            </w:pPr>
            <w:r>
              <w:rPr>
                <w:rFonts w:hint="eastAsia" w:ascii="汉仪中秀体简" w:hAnsi="汉仪中秀体简" w:eastAsia="汉仪中秀体简" w:cs="汉仪中秀体简"/>
                <w:color w:val="000000"/>
                <w:kern w:val="0"/>
                <w:sz w:val="21"/>
                <w:szCs w:val="21"/>
              </w:rPr>
              <w:t>…</w:t>
            </w:r>
          </w:p>
          <w:p w14:paraId="4C24C995">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 xml:space="preserve">（四）未按照本条例规定报送年度工作报告、财务审计报告或者接受监督检查； </w:t>
            </w:r>
          </w:p>
          <w:p w14:paraId="529AB47E">
            <w:pPr>
              <w:adjustRightInd w:val="0"/>
              <w:snapToGrid w:val="0"/>
            </w:pPr>
          </w:p>
        </w:tc>
        <w:tc>
          <w:tcPr>
            <w:tcW w:w="237" w:type="pct"/>
            <w:shd w:val="clear" w:color="auto" w:fill="auto"/>
            <w:noWrap/>
            <w:vAlign w:val="center"/>
          </w:tcPr>
          <w:p w14:paraId="6C01D0F9">
            <w:pPr>
              <w:adjustRightInd w:val="0"/>
              <w:snapToGrid w:val="0"/>
              <w:jc w:val="center"/>
              <w:rPr>
                <w:rFonts w:hAnsi="宋体" w:cs="宋体"/>
                <w:color w:val="000000"/>
                <w:kern w:val="0"/>
                <w:sz w:val="21"/>
                <w:szCs w:val="21"/>
              </w:rPr>
            </w:pPr>
            <w:r>
              <w:rPr>
                <w:rFonts w:hint="eastAsia" w:hAnsi="宋体" w:cs="宋体"/>
                <w:color w:val="000000"/>
                <w:kern w:val="0"/>
                <w:sz w:val="21"/>
                <w:szCs w:val="21"/>
              </w:rPr>
              <w:t>从轻处罚</w:t>
            </w:r>
          </w:p>
        </w:tc>
        <w:tc>
          <w:tcPr>
            <w:tcW w:w="1028" w:type="pct"/>
            <w:shd w:val="clear" w:color="auto" w:fill="auto"/>
            <w:noWrap/>
            <w:vAlign w:val="center"/>
          </w:tcPr>
          <w:p w14:paraId="38334DA3">
            <w:pPr>
              <w:adjustRightInd w:val="0"/>
              <w:snapToGrid w:val="0"/>
              <w:rPr>
                <w:rFonts w:hAnsi="宋体" w:cs="宋体"/>
                <w:color w:val="000000"/>
                <w:kern w:val="0"/>
                <w:sz w:val="21"/>
                <w:szCs w:val="21"/>
              </w:rPr>
            </w:pPr>
            <w:r>
              <w:rPr>
                <w:rFonts w:hint="eastAsia" w:hAnsi="宋体" w:cs="宋体"/>
                <w:color w:val="000000"/>
                <w:kern w:val="0"/>
                <w:sz w:val="21"/>
                <w:szCs w:val="21"/>
              </w:rPr>
              <w:t>无正当理由，不按照规定参加年报或者接受监督检查。</w:t>
            </w:r>
          </w:p>
        </w:tc>
        <w:tc>
          <w:tcPr>
            <w:tcW w:w="612" w:type="pct"/>
            <w:shd w:val="clear" w:color="auto" w:fill="auto"/>
            <w:noWrap/>
            <w:vAlign w:val="center"/>
          </w:tcPr>
          <w:p w14:paraId="3A8F1967">
            <w:pPr>
              <w:adjustRightInd w:val="0"/>
              <w:snapToGrid w:val="0"/>
              <w:rPr>
                <w:rFonts w:hAnsi="宋体" w:cs="宋体"/>
                <w:color w:val="000000"/>
                <w:kern w:val="0"/>
                <w:sz w:val="21"/>
                <w:szCs w:val="21"/>
              </w:rPr>
            </w:pPr>
            <w:r>
              <w:rPr>
                <w:rFonts w:hint="eastAsia" w:hAnsi="宋体" w:cs="宋体"/>
                <w:color w:val="000000"/>
                <w:kern w:val="0"/>
                <w:sz w:val="21"/>
                <w:szCs w:val="21"/>
              </w:rPr>
              <w:t>警告，处5万元以上不超过10万元的罚款。</w:t>
            </w:r>
          </w:p>
        </w:tc>
      </w:tr>
      <w:tr w14:paraId="5EFF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653" w:hRule="atLeast"/>
          <w:jc w:val="center"/>
        </w:trPr>
        <w:tc>
          <w:tcPr>
            <w:tcW w:w="201" w:type="pct"/>
            <w:gridSpan w:val="2"/>
            <w:vMerge w:val="continue"/>
            <w:shd w:val="clear" w:color="auto" w:fill="auto"/>
            <w:vAlign w:val="center"/>
          </w:tcPr>
          <w:p w14:paraId="4A454C30">
            <w:pPr>
              <w:adjustRightInd w:val="0"/>
              <w:snapToGrid w:val="0"/>
            </w:pPr>
          </w:p>
        </w:tc>
        <w:tc>
          <w:tcPr>
            <w:tcW w:w="1050" w:type="pct"/>
            <w:vMerge w:val="continue"/>
            <w:shd w:val="clear" w:color="auto" w:fill="auto"/>
            <w:vAlign w:val="center"/>
          </w:tcPr>
          <w:p w14:paraId="70E499A6">
            <w:pPr>
              <w:adjustRightInd w:val="0"/>
              <w:snapToGrid w:val="0"/>
            </w:pPr>
          </w:p>
        </w:tc>
        <w:tc>
          <w:tcPr>
            <w:tcW w:w="939" w:type="pct"/>
            <w:vMerge w:val="continue"/>
            <w:shd w:val="clear" w:color="auto" w:fill="auto"/>
            <w:vAlign w:val="center"/>
          </w:tcPr>
          <w:p w14:paraId="251FABF2">
            <w:pPr>
              <w:adjustRightInd w:val="0"/>
              <w:snapToGrid w:val="0"/>
            </w:pPr>
          </w:p>
        </w:tc>
        <w:tc>
          <w:tcPr>
            <w:tcW w:w="929" w:type="pct"/>
            <w:vMerge w:val="continue"/>
            <w:shd w:val="clear" w:color="auto" w:fill="auto"/>
            <w:vAlign w:val="center"/>
          </w:tcPr>
          <w:p w14:paraId="53FAF37C">
            <w:pPr>
              <w:adjustRightInd w:val="0"/>
              <w:snapToGrid w:val="0"/>
            </w:pPr>
          </w:p>
        </w:tc>
        <w:tc>
          <w:tcPr>
            <w:tcW w:w="237" w:type="pct"/>
            <w:shd w:val="clear" w:color="auto" w:fill="auto"/>
            <w:noWrap/>
            <w:vAlign w:val="center"/>
          </w:tcPr>
          <w:p w14:paraId="7CF135BC">
            <w:pPr>
              <w:adjustRightInd w:val="0"/>
              <w:snapToGrid w:val="0"/>
              <w:jc w:val="center"/>
              <w:rPr>
                <w:rFonts w:hAnsi="宋体" w:cs="宋体"/>
                <w:color w:val="000000"/>
                <w:kern w:val="0"/>
                <w:sz w:val="21"/>
                <w:szCs w:val="21"/>
              </w:rPr>
            </w:pPr>
            <w:r>
              <w:rPr>
                <w:rFonts w:hint="eastAsia" w:hAnsi="宋体" w:cs="宋体"/>
                <w:color w:val="000000"/>
                <w:kern w:val="0"/>
                <w:sz w:val="21"/>
                <w:szCs w:val="21"/>
              </w:rPr>
              <w:t>一般处罚</w:t>
            </w:r>
          </w:p>
        </w:tc>
        <w:tc>
          <w:tcPr>
            <w:tcW w:w="1028" w:type="pct"/>
            <w:shd w:val="clear" w:color="auto" w:fill="auto"/>
            <w:noWrap/>
            <w:vAlign w:val="center"/>
          </w:tcPr>
          <w:p w14:paraId="28E8B764">
            <w:pPr>
              <w:adjustRightInd w:val="0"/>
              <w:snapToGrid w:val="0"/>
              <w:rPr>
                <w:rFonts w:hAnsi="宋体" w:cs="宋体"/>
                <w:color w:val="000000"/>
                <w:kern w:val="0"/>
                <w:sz w:val="21"/>
                <w:szCs w:val="21"/>
              </w:rPr>
            </w:pPr>
            <w:r>
              <w:rPr>
                <w:rFonts w:hint="eastAsia" w:hAnsi="宋体" w:cs="宋体"/>
                <w:color w:val="000000"/>
                <w:kern w:val="0"/>
                <w:sz w:val="21"/>
                <w:szCs w:val="21"/>
              </w:rPr>
              <w:t>经责令改正后，整改不彻底或者未在规定期限内完成整改的。</w:t>
            </w:r>
          </w:p>
        </w:tc>
        <w:tc>
          <w:tcPr>
            <w:tcW w:w="612" w:type="pct"/>
            <w:shd w:val="clear" w:color="auto" w:fill="auto"/>
            <w:noWrap/>
            <w:vAlign w:val="center"/>
          </w:tcPr>
          <w:p w14:paraId="2D4E0692">
            <w:pPr>
              <w:adjustRightInd w:val="0"/>
              <w:snapToGrid w:val="0"/>
              <w:rPr>
                <w:rFonts w:hAnsi="宋体" w:cs="宋体"/>
                <w:color w:val="000000"/>
                <w:kern w:val="0"/>
                <w:sz w:val="21"/>
                <w:szCs w:val="21"/>
              </w:rPr>
            </w:pPr>
            <w:r>
              <w:rPr>
                <w:rFonts w:hint="eastAsia" w:hAnsi="宋体" w:cs="宋体"/>
                <w:color w:val="000000"/>
                <w:kern w:val="0"/>
                <w:sz w:val="21"/>
                <w:szCs w:val="21"/>
              </w:rPr>
              <w:t>警告，处10万元以上不超过15万元的罚款。</w:t>
            </w:r>
          </w:p>
        </w:tc>
      </w:tr>
      <w:tr w14:paraId="6CBF4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653" w:hRule="atLeast"/>
          <w:jc w:val="center"/>
        </w:trPr>
        <w:tc>
          <w:tcPr>
            <w:tcW w:w="201" w:type="pct"/>
            <w:gridSpan w:val="2"/>
            <w:vMerge w:val="continue"/>
            <w:shd w:val="clear" w:color="auto" w:fill="auto"/>
            <w:vAlign w:val="center"/>
          </w:tcPr>
          <w:p w14:paraId="5C162520">
            <w:pPr>
              <w:adjustRightInd w:val="0"/>
              <w:snapToGrid w:val="0"/>
              <w:rPr>
                <w:rFonts w:hAnsi="宋体" w:cs="宋体"/>
                <w:color w:val="000000"/>
                <w:kern w:val="0"/>
                <w:sz w:val="21"/>
                <w:szCs w:val="21"/>
              </w:rPr>
            </w:pPr>
          </w:p>
        </w:tc>
        <w:tc>
          <w:tcPr>
            <w:tcW w:w="1050" w:type="pct"/>
            <w:vMerge w:val="continue"/>
            <w:shd w:val="clear" w:color="auto" w:fill="auto"/>
            <w:vAlign w:val="center"/>
          </w:tcPr>
          <w:p w14:paraId="17B1BF59">
            <w:pPr>
              <w:adjustRightInd w:val="0"/>
              <w:snapToGrid w:val="0"/>
              <w:rPr>
                <w:rFonts w:hAnsi="宋体" w:cs="宋体"/>
                <w:color w:val="000000"/>
                <w:kern w:val="0"/>
                <w:sz w:val="21"/>
                <w:szCs w:val="21"/>
              </w:rPr>
            </w:pPr>
          </w:p>
        </w:tc>
        <w:tc>
          <w:tcPr>
            <w:tcW w:w="939" w:type="pct"/>
            <w:vMerge w:val="continue"/>
            <w:shd w:val="clear" w:color="auto" w:fill="auto"/>
            <w:vAlign w:val="center"/>
          </w:tcPr>
          <w:p w14:paraId="3B743D7E">
            <w:pPr>
              <w:adjustRightInd w:val="0"/>
              <w:snapToGrid w:val="0"/>
              <w:rPr>
                <w:rFonts w:hAnsi="宋体" w:cs="宋体"/>
                <w:color w:val="000000"/>
                <w:kern w:val="0"/>
                <w:sz w:val="21"/>
                <w:szCs w:val="21"/>
              </w:rPr>
            </w:pPr>
          </w:p>
        </w:tc>
        <w:tc>
          <w:tcPr>
            <w:tcW w:w="929" w:type="pct"/>
            <w:vMerge w:val="continue"/>
            <w:shd w:val="clear" w:color="auto" w:fill="auto"/>
            <w:vAlign w:val="center"/>
          </w:tcPr>
          <w:p w14:paraId="2C7985F1">
            <w:pPr>
              <w:adjustRightInd w:val="0"/>
              <w:snapToGrid w:val="0"/>
              <w:rPr>
                <w:rFonts w:hAnsi="宋体" w:cs="宋体"/>
                <w:color w:val="000000"/>
                <w:kern w:val="0"/>
                <w:sz w:val="21"/>
                <w:szCs w:val="21"/>
              </w:rPr>
            </w:pPr>
          </w:p>
        </w:tc>
        <w:tc>
          <w:tcPr>
            <w:tcW w:w="237" w:type="pct"/>
            <w:shd w:val="clear" w:color="auto" w:fill="auto"/>
            <w:noWrap/>
            <w:vAlign w:val="center"/>
          </w:tcPr>
          <w:p w14:paraId="1F66096D">
            <w:pPr>
              <w:adjustRightInd w:val="0"/>
              <w:snapToGrid w:val="0"/>
              <w:jc w:val="center"/>
              <w:rPr>
                <w:rFonts w:hAnsi="宋体" w:cs="宋体"/>
                <w:color w:val="000000"/>
                <w:kern w:val="0"/>
                <w:sz w:val="21"/>
                <w:szCs w:val="21"/>
              </w:rPr>
            </w:pPr>
            <w:r>
              <w:rPr>
                <w:rFonts w:hint="eastAsia" w:hAnsi="宋体" w:cs="宋体"/>
                <w:color w:val="000000"/>
                <w:kern w:val="0"/>
                <w:sz w:val="21"/>
                <w:szCs w:val="21"/>
              </w:rPr>
              <w:t>从重处罚</w:t>
            </w:r>
          </w:p>
        </w:tc>
        <w:tc>
          <w:tcPr>
            <w:tcW w:w="1028" w:type="pct"/>
            <w:shd w:val="clear" w:color="auto" w:fill="auto"/>
            <w:noWrap/>
            <w:vAlign w:val="center"/>
          </w:tcPr>
          <w:p w14:paraId="1401C5F9">
            <w:pPr>
              <w:adjustRightInd w:val="0"/>
              <w:snapToGrid w:val="0"/>
              <w:rPr>
                <w:rFonts w:hAnsi="宋体" w:cs="宋体"/>
                <w:color w:val="000000"/>
                <w:kern w:val="0"/>
                <w:sz w:val="21"/>
                <w:szCs w:val="21"/>
              </w:rPr>
            </w:pPr>
            <w:r>
              <w:rPr>
                <w:rFonts w:hint="eastAsia" w:hAnsi="宋体" w:cs="宋体"/>
                <w:color w:val="000000"/>
                <w:kern w:val="0"/>
                <w:sz w:val="21"/>
                <w:szCs w:val="21"/>
              </w:rPr>
              <w:t>再次责令改正后，仍然不按照规定报送年报或者拒不接受监督检查。</w:t>
            </w:r>
          </w:p>
        </w:tc>
        <w:tc>
          <w:tcPr>
            <w:tcW w:w="612" w:type="pct"/>
            <w:shd w:val="clear" w:color="auto" w:fill="auto"/>
            <w:noWrap/>
            <w:vAlign w:val="center"/>
          </w:tcPr>
          <w:p w14:paraId="15726B01">
            <w:pPr>
              <w:adjustRightInd w:val="0"/>
              <w:snapToGrid w:val="0"/>
              <w:rPr>
                <w:rFonts w:hAnsi="宋体" w:cs="宋体"/>
                <w:color w:val="000000"/>
                <w:kern w:val="0"/>
                <w:sz w:val="21"/>
                <w:szCs w:val="21"/>
              </w:rPr>
            </w:pPr>
            <w:r>
              <w:rPr>
                <w:rFonts w:hint="eastAsia" w:hAnsi="宋体" w:cs="宋体"/>
                <w:color w:val="000000"/>
                <w:kern w:val="0"/>
                <w:sz w:val="21"/>
                <w:szCs w:val="21"/>
              </w:rPr>
              <w:t>警告，处15万元以上20万元以下的罚款。</w:t>
            </w:r>
          </w:p>
        </w:tc>
      </w:tr>
      <w:tr w14:paraId="54ECE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037" w:hRule="atLeast"/>
          <w:jc w:val="center"/>
        </w:trPr>
        <w:tc>
          <w:tcPr>
            <w:tcW w:w="201" w:type="pct"/>
            <w:gridSpan w:val="2"/>
            <w:shd w:val="clear" w:color="auto" w:fill="auto"/>
            <w:vAlign w:val="center"/>
          </w:tcPr>
          <w:p w14:paraId="4D94C50C">
            <w:pPr>
              <w:adjustRightInd w:val="0"/>
              <w:snapToGrid w:val="0"/>
              <w:jc w:val="center"/>
              <w:rPr>
                <w:rFonts w:hAnsi="宋体" w:cs="宋体"/>
                <w:color w:val="000000"/>
                <w:kern w:val="0"/>
                <w:sz w:val="21"/>
                <w:szCs w:val="21"/>
              </w:rPr>
            </w:pPr>
            <w:r>
              <w:rPr>
                <w:rFonts w:hint="eastAsia" w:hAnsi="宋体" w:cs="宋体"/>
                <w:color w:val="000000"/>
                <w:kern w:val="0"/>
                <w:sz w:val="21"/>
                <w:szCs w:val="21"/>
              </w:rPr>
              <w:t>103</w:t>
            </w:r>
          </w:p>
        </w:tc>
        <w:tc>
          <w:tcPr>
            <w:tcW w:w="1050" w:type="pct"/>
            <w:shd w:val="clear" w:color="auto" w:fill="auto"/>
            <w:vAlign w:val="center"/>
          </w:tcPr>
          <w:p w14:paraId="4E5653FA">
            <w:pPr>
              <w:adjustRightInd w:val="0"/>
              <w:snapToGrid w:val="0"/>
              <w:rPr>
                <w:rFonts w:hAnsi="宋体" w:cs="宋体"/>
                <w:color w:val="000000"/>
                <w:kern w:val="0"/>
                <w:sz w:val="21"/>
                <w:szCs w:val="21"/>
              </w:rPr>
            </w:pPr>
            <w:r>
              <w:rPr>
                <w:rFonts w:hint="eastAsia" w:hAnsi="宋体" w:cs="宋体"/>
                <w:color w:val="000000"/>
                <w:kern w:val="0"/>
                <w:sz w:val="21"/>
                <w:szCs w:val="21"/>
              </w:rPr>
              <w:t>在骨灰堂内设置私人祠堂的，在公墓内提供超规定标准墓位、变相扩大墓位占地面积，或者使用高档材料的。</w:t>
            </w:r>
          </w:p>
        </w:tc>
        <w:tc>
          <w:tcPr>
            <w:tcW w:w="939" w:type="pct"/>
            <w:shd w:val="clear" w:color="auto" w:fill="auto"/>
            <w:vAlign w:val="center"/>
          </w:tcPr>
          <w:p w14:paraId="646BBFBE">
            <w:pPr>
              <w:adjustRightInd w:val="0"/>
              <w:snapToGrid w:val="0"/>
              <w:rPr>
                <w:rFonts w:hAnsi="宋体" w:cs="宋体"/>
                <w:color w:val="000000"/>
                <w:kern w:val="0"/>
                <w:sz w:val="21"/>
                <w:szCs w:val="21"/>
                <w:lang w:val="en"/>
              </w:rPr>
            </w:pPr>
            <w:r>
              <w:rPr>
                <w:rFonts w:hint="eastAsia" w:hAnsi="宋体" w:cs="宋体"/>
                <w:color w:val="000000"/>
                <w:kern w:val="0"/>
                <w:sz w:val="21"/>
                <w:szCs w:val="21"/>
              </w:rPr>
              <w:t>《殡葬管理条例》</w:t>
            </w:r>
          </w:p>
          <w:p w14:paraId="229C5284">
            <w:pPr>
              <w:adjustRightInd w:val="0"/>
              <w:snapToGrid w:val="0"/>
              <w:ind w:firstLine="420" w:firstLineChars="200"/>
              <w:rPr>
                <w:rFonts w:hAnsi="宋体" w:cs="宋体"/>
                <w:color w:val="000000"/>
                <w:kern w:val="0"/>
                <w:sz w:val="21"/>
                <w:szCs w:val="21"/>
                <w:lang w:val="en"/>
              </w:rPr>
            </w:pPr>
            <w:r>
              <w:rPr>
                <w:rFonts w:hint="eastAsia" w:hAnsi="宋体" w:cs="宋体"/>
                <w:color w:val="000000"/>
                <w:kern w:val="0"/>
                <w:sz w:val="21"/>
                <w:szCs w:val="21"/>
              </w:rPr>
              <w:t>1.</w:t>
            </w:r>
            <w:r>
              <w:rPr>
                <w:rFonts w:hAnsi="宋体" w:cs="宋体"/>
                <w:color w:val="000000"/>
                <w:kern w:val="0"/>
                <w:sz w:val="21"/>
                <w:szCs w:val="21"/>
                <w:lang w:val="en"/>
              </w:rPr>
              <w:t>第</w:t>
            </w:r>
            <w:r>
              <w:rPr>
                <w:rFonts w:hint="eastAsia" w:hAnsi="宋体" w:cs="宋体"/>
                <w:color w:val="000000"/>
                <w:kern w:val="0"/>
                <w:sz w:val="21"/>
                <w:szCs w:val="21"/>
                <w:lang w:val="en"/>
              </w:rPr>
              <w:t>三十三</w:t>
            </w:r>
            <w:r>
              <w:rPr>
                <w:rFonts w:hAnsi="宋体" w:cs="宋体"/>
                <w:color w:val="000000"/>
                <w:kern w:val="0"/>
                <w:sz w:val="21"/>
                <w:szCs w:val="21"/>
                <w:lang w:val="en"/>
              </w:rPr>
              <w:t>条</w:t>
            </w:r>
            <w:r>
              <w:rPr>
                <w:rFonts w:hint="eastAsia" w:hAnsi="宋体" w:cs="宋体"/>
                <w:color w:val="000000"/>
                <w:kern w:val="0"/>
                <w:sz w:val="21"/>
                <w:szCs w:val="21"/>
                <w:lang w:val="en"/>
              </w:rPr>
              <w:t>：禁止在骨灰堂内设置私人祠堂。</w:t>
            </w:r>
          </w:p>
          <w:p w14:paraId="21ABB391">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2.第三十四条：县级以上地方人民政府民政部门应当严格限制公墓墓位占地面积和墓碑高度，具体标准由国务院民政部门制定。</w:t>
            </w:r>
          </w:p>
          <w:p w14:paraId="2F4475E9">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禁止变相扩大墓位占地面积或者使用高档材料。</w:t>
            </w:r>
          </w:p>
          <w:p w14:paraId="67D71D42">
            <w:pPr>
              <w:adjustRightInd w:val="0"/>
              <w:snapToGrid w:val="0"/>
              <w:ind w:firstLine="420" w:firstLineChars="200"/>
              <w:rPr>
                <w:rFonts w:hAnsi="宋体" w:cs="宋体"/>
                <w:color w:val="000000"/>
                <w:kern w:val="0"/>
                <w:sz w:val="21"/>
                <w:szCs w:val="21"/>
              </w:rPr>
            </w:pPr>
            <w:r>
              <w:rPr>
                <w:rFonts w:hint="eastAsia" w:hAnsi="宋体" w:cs="宋体"/>
                <w:kern w:val="0"/>
                <w:sz w:val="21"/>
                <w:szCs w:val="21"/>
              </w:rPr>
              <w:t>3.公墓墓位占地面积和墓碑高度的具体标准，按照民政部公布的标准执行。</w:t>
            </w:r>
          </w:p>
        </w:tc>
        <w:tc>
          <w:tcPr>
            <w:tcW w:w="929" w:type="pct"/>
            <w:shd w:val="clear" w:color="auto" w:fill="auto"/>
            <w:vAlign w:val="center"/>
          </w:tcPr>
          <w:p w14:paraId="7410D06D">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7000D2CA">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五十七条：在骨灰堂内设置私人祠堂的，在公墓内提供超规定标准墓位、变相扩大墓位占地面积，或者使用高档材料的，由县级以上地方人民政府民政部门责令限期改正，给予警告，没收违法所得；没有违法所得或者违法所得不足50万元的，视情节轻重、危害程度等情况处10万元以上100万元以下的罚款；违法所得50万元以上的，处违法所得2倍以上5倍以下的罚款。对负有责任的领导人员和直接责任人员，依法给予处分。</w:t>
            </w:r>
          </w:p>
        </w:tc>
        <w:tc>
          <w:tcPr>
            <w:tcW w:w="237" w:type="pct"/>
            <w:shd w:val="clear" w:color="auto" w:fill="auto"/>
            <w:noWrap/>
            <w:vAlign w:val="center"/>
          </w:tcPr>
          <w:p w14:paraId="45E06AE5">
            <w:pPr>
              <w:adjustRightInd w:val="0"/>
              <w:snapToGrid w:val="0"/>
              <w:jc w:val="center"/>
              <w:rPr>
                <w:rFonts w:hAnsi="宋体" w:cs="宋体"/>
                <w:color w:val="000000"/>
                <w:kern w:val="0"/>
                <w:sz w:val="21"/>
                <w:szCs w:val="21"/>
              </w:rPr>
            </w:pPr>
            <w:r>
              <w:rPr>
                <w:rFonts w:hint="eastAsia" w:hAnsi="宋体" w:cs="宋体"/>
                <w:color w:val="000000"/>
                <w:kern w:val="0"/>
                <w:sz w:val="21"/>
                <w:szCs w:val="21"/>
              </w:rPr>
              <w:t>从轻处罚</w:t>
            </w:r>
          </w:p>
        </w:tc>
        <w:tc>
          <w:tcPr>
            <w:tcW w:w="1028" w:type="pct"/>
            <w:shd w:val="clear" w:color="auto" w:fill="auto"/>
            <w:noWrap/>
            <w:vAlign w:val="center"/>
          </w:tcPr>
          <w:p w14:paraId="449DE091">
            <w:pPr>
              <w:adjustRightInd w:val="0"/>
              <w:snapToGrid w:val="0"/>
              <w:rPr>
                <w:rFonts w:hAnsi="宋体" w:cs="宋体"/>
                <w:color w:val="000000"/>
                <w:kern w:val="0"/>
                <w:sz w:val="21"/>
                <w:szCs w:val="21"/>
              </w:rPr>
            </w:pPr>
            <w:r>
              <w:rPr>
                <w:rFonts w:hint="eastAsia" w:hAnsi="宋体" w:cs="宋体"/>
                <w:color w:val="000000"/>
                <w:kern w:val="0"/>
                <w:sz w:val="21"/>
                <w:szCs w:val="21"/>
              </w:rPr>
              <w:t>没有违法所得或者违法所得不足50万元的。</w:t>
            </w:r>
          </w:p>
        </w:tc>
        <w:tc>
          <w:tcPr>
            <w:tcW w:w="612" w:type="pct"/>
            <w:shd w:val="clear" w:color="auto" w:fill="auto"/>
            <w:noWrap/>
            <w:vAlign w:val="center"/>
          </w:tcPr>
          <w:p w14:paraId="011D50F0">
            <w:pPr>
              <w:adjustRightInd w:val="0"/>
              <w:snapToGrid w:val="0"/>
              <w:rPr>
                <w:rFonts w:hAnsi="宋体" w:cs="宋体"/>
                <w:color w:val="000000"/>
                <w:kern w:val="0"/>
                <w:sz w:val="21"/>
                <w:szCs w:val="21"/>
              </w:rPr>
            </w:pPr>
            <w:r>
              <w:rPr>
                <w:rFonts w:hint="eastAsia" w:hAnsi="宋体" w:cs="宋体"/>
                <w:color w:val="000000"/>
                <w:kern w:val="0"/>
                <w:sz w:val="21"/>
                <w:szCs w:val="21"/>
              </w:rPr>
              <w:t>1.情节较轻，造成较小不良社会影响的，警告，处10万元以上不超过40万元的罚款，有违法所得的一并没收违法所得；</w:t>
            </w:r>
          </w:p>
          <w:p w14:paraId="5307EA41">
            <w:pPr>
              <w:adjustRightInd w:val="0"/>
              <w:snapToGrid w:val="0"/>
              <w:rPr>
                <w:rFonts w:hAnsi="宋体" w:cs="宋体"/>
                <w:color w:val="000000"/>
                <w:kern w:val="0"/>
                <w:sz w:val="21"/>
                <w:szCs w:val="21"/>
              </w:rPr>
            </w:pPr>
            <w:r>
              <w:rPr>
                <w:rFonts w:hint="eastAsia" w:hAnsi="宋体" w:cs="宋体"/>
                <w:color w:val="000000"/>
                <w:kern w:val="0"/>
                <w:sz w:val="21"/>
                <w:szCs w:val="21"/>
              </w:rPr>
              <w:t>2.情节较重，造成较大不良社会影响的，警告，处40万元以上不超过80万元的罚款，有违法所得的一并没收违法所得；</w:t>
            </w:r>
          </w:p>
          <w:p w14:paraId="1E848C43">
            <w:pPr>
              <w:adjustRightInd w:val="0"/>
              <w:snapToGrid w:val="0"/>
              <w:rPr>
                <w:rFonts w:hAnsi="宋体" w:cs="宋体"/>
                <w:color w:val="000000"/>
                <w:kern w:val="0"/>
                <w:sz w:val="21"/>
                <w:szCs w:val="21"/>
              </w:rPr>
            </w:pPr>
            <w:r>
              <w:rPr>
                <w:rFonts w:hint="eastAsia" w:hAnsi="宋体" w:cs="宋体"/>
                <w:color w:val="000000"/>
                <w:kern w:val="0"/>
                <w:sz w:val="21"/>
                <w:szCs w:val="21"/>
              </w:rPr>
              <w:t>3.情节严重，造成严重不良社会影响的，警告，处80万元以上100万元以下的罚款，有违法所得的一并没收违法所得。</w:t>
            </w:r>
          </w:p>
        </w:tc>
      </w:tr>
      <w:tr w14:paraId="1306E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1" w:hRule="atLeast"/>
          <w:jc w:val="center"/>
        </w:trPr>
        <w:tc>
          <w:tcPr>
            <w:tcW w:w="201" w:type="pct"/>
            <w:gridSpan w:val="2"/>
            <w:vMerge w:val="restart"/>
            <w:shd w:val="clear" w:color="auto" w:fill="auto"/>
            <w:vAlign w:val="center"/>
          </w:tcPr>
          <w:p w14:paraId="232DD02B">
            <w:pPr>
              <w:adjustRightInd w:val="0"/>
              <w:snapToGrid w:val="0"/>
              <w:jc w:val="center"/>
              <w:rPr>
                <w:rFonts w:hAnsi="宋体" w:cs="宋体"/>
                <w:color w:val="000000"/>
                <w:kern w:val="0"/>
                <w:sz w:val="21"/>
                <w:szCs w:val="21"/>
              </w:rPr>
            </w:pPr>
            <w:r>
              <w:rPr>
                <w:rFonts w:hint="eastAsia" w:hAnsi="宋体" w:cs="宋体"/>
                <w:color w:val="000000"/>
                <w:kern w:val="0"/>
                <w:sz w:val="21"/>
                <w:szCs w:val="21"/>
              </w:rPr>
              <w:t>103</w:t>
            </w:r>
          </w:p>
        </w:tc>
        <w:tc>
          <w:tcPr>
            <w:tcW w:w="1050" w:type="pct"/>
            <w:vMerge w:val="restart"/>
            <w:shd w:val="clear" w:color="auto" w:fill="auto"/>
            <w:vAlign w:val="center"/>
          </w:tcPr>
          <w:p w14:paraId="0568E1F4">
            <w:pPr>
              <w:adjustRightInd w:val="0"/>
              <w:snapToGrid w:val="0"/>
              <w:rPr>
                <w:rFonts w:hAnsi="宋体" w:cs="宋体"/>
                <w:color w:val="000000"/>
                <w:kern w:val="0"/>
                <w:sz w:val="21"/>
                <w:szCs w:val="21"/>
              </w:rPr>
            </w:pPr>
            <w:r>
              <w:rPr>
                <w:rFonts w:hint="eastAsia" w:hAnsi="宋体" w:cs="宋体"/>
                <w:color w:val="000000"/>
                <w:kern w:val="0"/>
                <w:sz w:val="21"/>
                <w:szCs w:val="21"/>
              </w:rPr>
              <w:t>在骨灰堂内设置私人祠堂的，在公墓内提供超规定标准墓位、变相扩大墓位占地面积，或者使用高档材料的。</w:t>
            </w:r>
          </w:p>
        </w:tc>
        <w:tc>
          <w:tcPr>
            <w:tcW w:w="939" w:type="pct"/>
            <w:vMerge w:val="restart"/>
            <w:shd w:val="clear" w:color="auto" w:fill="auto"/>
            <w:vAlign w:val="center"/>
          </w:tcPr>
          <w:p w14:paraId="56267FB9">
            <w:pPr>
              <w:adjustRightInd w:val="0"/>
              <w:snapToGrid w:val="0"/>
              <w:rPr>
                <w:rFonts w:hAnsi="宋体" w:cs="宋体"/>
                <w:color w:val="000000"/>
                <w:kern w:val="0"/>
                <w:sz w:val="21"/>
                <w:szCs w:val="21"/>
                <w:lang w:val="en"/>
              </w:rPr>
            </w:pPr>
            <w:r>
              <w:rPr>
                <w:rFonts w:hint="eastAsia" w:hAnsi="宋体" w:cs="宋体"/>
                <w:color w:val="000000"/>
                <w:kern w:val="0"/>
                <w:sz w:val="21"/>
                <w:szCs w:val="21"/>
              </w:rPr>
              <w:t>《殡葬管理条例》</w:t>
            </w:r>
          </w:p>
          <w:p w14:paraId="7319BF4A">
            <w:pPr>
              <w:adjustRightInd w:val="0"/>
              <w:snapToGrid w:val="0"/>
              <w:ind w:firstLine="420" w:firstLineChars="200"/>
              <w:rPr>
                <w:rFonts w:hAnsi="宋体" w:cs="宋体"/>
                <w:color w:val="000000"/>
                <w:kern w:val="0"/>
                <w:sz w:val="21"/>
                <w:szCs w:val="21"/>
                <w:lang w:val="en"/>
              </w:rPr>
            </w:pPr>
            <w:r>
              <w:rPr>
                <w:rFonts w:hint="eastAsia" w:hAnsi="宋体" w:cs="宋体"/>
                <w:color w:val="000000"/>
                <w:kern w:val="0"/>
                <w:sz w:val="21"/>
                <w:szCs w:val="21"/>
              </w:rPr>
              <w:t>1.</w:t>
            </w:r>
            <w:r>
              <w:rPr>
                <w:rFonts w:hAnsi="宋体" w:cs="宋体"/>
                <w:color w:val="000000"/>
                <w:kern w:val="0"/>
                <w:sz w:val="21"/>
                <w:szCs w:val="21"/>
                <w:lang w:val="en"/>
              </w:rPr>
              <w:t>第</w:t>
            </w:r>
            <w:r>
              <w:rPr>
                <w:rFonts w:hint="eastAsia" w:hAnsi="宋体" w:cs="宋体"/>
                <w:color w:val="000000"/>
                <w:kern w:val="0"/>
                <w:sz w:val="21"/>
                <w:szCs w:val="21"/>
                <w:lang w:val="en"/>
              </w:rPr>
              <w:t>三十三</w:t>
            </w:r>
            <w:r>
              <w:rPr>
                <w:rFonts w:hAnsi="宋体" w:cs="宋体"/>
                <w:color w:val="000000"/>
                <w:kern w:val="0"/>
                <w:sz w:val="21"/>
                <w:szCs w:val="21"/>
                <w:lang w:val="en"/>
              </w:rPr>
              <w:t>条</w:t>
            </w:r>
            <w:r>
              <w:rPr>
                <w:rFonts w:hint="eastAsia" w:hAnsi="宋体" w:cs="宋体"/>
                <w:color w:val="000000"/>
                <w:kern w:val="0"/>
                <w:sz w:val="21"/>
                <w:szCs w:val="21"/>
                <w:lang w:val="en"/>
              </w:rPr>
              <w:t>：禁止在骨灰堂内设置私人祠堂。</w:t>
            </w:r>
          </w:p>
          <w:p w14:paraId="057A44C7">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2.第三十四条：县级以上地方人民政府民政部门应当严格限制公墓墓位占地面积和墓碑高度，具体标准由国务院民政部门制定。</w:t>
            </w:r>
          </w:p>
          <w:p w14:paraId="1A4A7D14">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禁止变相扩大墓位占地面积或者使用高档材料。</w:t>
            </w:r>
          </w:p>
          <w:p w14:paraId="2B73066E">
            <w:pPr>
              <w:adjustRightInd w:val="0"/>
              <w:snapToGrid w:val="0"/>
              <w:ind w:firstLine="420" w:firstLineChars="200"/>
              <w:rPr>
                <w:rFonts w:hAnsi="宋体" w:cs="宋体"/>
                <w:color w:val="000000"/>
                <w:kern w:val="0"/>
                <w:sz w:val="21"/>
                <w:szCs w:val="21"/>
              </w:rPr>
            </w:pPr>
            <w:r>
              <w:rPr>
                <w:rFonts w:hint="eastAsia" w:hAnsi="宋体" w:cs="宋体"/>
                <w:kern w:val="0"/>
                <w:sz w:val="21"/>
                <w:szCs w:val="21"/>
              </w:rPr>
              <w:t>3.公墓墓位占地面积和墓碑高度的具体标准，按照民政部公布的标准执行。</w:t>
            </w:r>
          </w:p>
        </w:tc>
        <w:tc>
          <w:tcPr>
            <w:tcW w:w="929" w:type="pct"/>
            <w:vMerge w:val="restart"/>
            <w:shd w:val="clear" w:color="auto" w:fill="auto"/>
            <w:vAlign w:val="center"/>
          </w:tcPr>
          <w:p w14:paraId="1E123D14">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3BEA4375">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五十七条：在骨灰堂内设置私人祠堂的，在公墓内提供超规定标准墓位、变相扩大墓位占地面积，或者使用高档材料的，由县级以上地方人民政府民政部门责令限期改正，给予警告，没收违法所得；没有违法所得或者违法所得不足50万元的，视情节轻重、危害程度等情况处10万元以上100万元以下的罚款；违法所得50万元以上的，处违法所得2倍以上5倍以下的罚款。对负有责任的领导人员和直接责任人员，依法给予处分。</w:t>
            </w:r>
          </w:p>
        </w:tc>
        <w:tc>
          <w:tcPr>
            <w:tcW w:w="237" w:type="pct"/>
            <w:shd w:val="clear" w:color="auto" w:fill="auto"/>
            <w:noWrap/>
            <w:vAlign w:val="center"/>
          </w:tcPr>
          <w:p w14:paraId="5EC6B9EB">
            <w:pPr>
              <w:adjustRightInd w:val="0"/>
              <w:snapToGrid w:val="0"/>
              <w:jc w:val="center"/>
              <w:rPr>
                <w:rFonts w:hAnsi="宋体" w:cs="宋体"/>
                <w:color w:val="000000"/>
                <w:kern w:val="0"/>
                <w:sz w:val="21"/>
                <w:szCs w:val="21"/>
              </w:rPr>
            </w:pPr>
            <w:r>
              <w:rPr>
                <w:rFonts w:hint="eastAsia" w:hAnsi="宋体" w:cs="宋体"/>
                <w:color w:val="000000"/>
                <w:kern w:val="0"/>
                <w:sz w:val="21"/>
                <w:szCs w:val="21"/>
              </w:rPr>
              <w:t>一般处罚</w:t>
            </w:r>
          </w:p>
        </w:tc>
        <w:tc>
          <w:tcPr>
            <w:tcW w:w="1028" w:type="pct"/>
            <w:shd w:val="clear" w:color="auto" w:fill="auto"/>
            <w:noWrap/>
            <w:vAlign w:val="center"/>
          </w:tcPr>
          <w:p w14:paraId="655919A9">
            <w:pPr>
              <w:adjustRightInd w:val="0"/>
              <w:snapToGrid w:val="0"/>
              <w:rPr>
                <w:rFonts w:hAnsi="宋体" w:cs="宋体"/>
                <w:color w:val="000000"/>
                <w:kern w:val="0"/>
                <w:sz w:val="21"/>
                <w:szCs w:val="21"/>
              </w:rPr>
            </w:pPr>
            <w:r>
              <w:rPr>
                <w:rFonts w:hint="eastAsia" w:hAnsi="宋体" w:cs="宋体"/>
                <w:color w:val="000000"/>
                <w:kern w:val="0"/>
                <w:sz w:val="21"/>
                <w:szCs w:val="21"/>
              </w:rPr>
              <w:t>违法所得在50万元以上不足100万元的。</w:t>
            </w:r>
          </w:p>
        </w:tc>
        <w:tc>
          <w:tcPr>
            <w:tcW w:w="612" w:type="pct"/>
            <w:shd w:val="clear" w:color="auto" w:fill="auto"/>
            <w:noWrap/>
            <w:vAlign w:val="center"/>
          </w:tcPr>
          <w:p w14:paraId="0A0CD152">
            <w:pPr>
              <w:adjustRightInd w:val="0"/>
              <w:snapToGrid w:val="0"/>
              <w:rPr>
                <w:rFonts w:hAnsi="宋体" w:cs="宋体"/>
                <w:color w:val="000000"/>
                <w:kern w:val="0"/>
                <w:sz w:val="21"/>
                <w:szCs w:val="21"/>
              </w:rPr>
            </w:pPr>
            <w:r>
              <w:rPr>
                <w:rFonts w:hint="eastAsia" w:hAnsi="宋体" w:cs="宋体"/>
                <w:color w:val="000000"/>
                <w:kern w:val="0"/>
                <w:sz w:val="21"/>
                <w:szCs w:val="21"/>
              </w:rPr>
              <w:t>警告，没收违法所得，处违法所得2倍以上不超过4倍的罚款。</w:t>
            </w:r>
          </w:p>
        </w:tc>
      </w:tr>
      <w:tr w14:paraId="57950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1" w:hRule="atLeast"/>
          <w:jc w:val="center"/>
        </w:trPr>
        <w:tc>
          <w:tcPr>
            <w:tcW w:w="201" w:type="pct"/>
            <w:gridSpan w:val="2"/>
            <w:vMerge w:val="continue"/>
            <w:shd w:val="clear" w:color="auto" w:fill="auto"/>
            <w:vAlign w:val="center"/>
          </w:tcPr>
          <w:p w14:paraId="1F7849A4">
            <w:pPr>
              <w:adjustRightInd w:val="0"/>
              <w:snapToGrid w:val="0"/>
            </w:pPr>
          </w:p>
        </w:tc>
        <w:tc>
          <w:tcPr>
            <w:tcW w:w="1050" w:type="pct"/>
            <w:vMerge w:val="continue"/>
            <w:shd w:val="clear" w:color="auto" w:fill="auto"/>
            <w:vAlign w:val="center"/>
          </w:tcPr>
          <w:p w14:paraId="1A9D8318">
            <w:pPr>
              <w:adjustRightInd w:val="0"/>
              <w:snapToGrid w:val="0"/>
            </w:pPr>
          </w:p>
        </w:tc>
        <w:tc>
          <w:tcPr>
            <w:tcW w:w="939" w:type="pct"/>
            <w:vMerge w:val="continue"/>
            <w:shd w:val="clear" w:color="auto" w:fill="auto"/>
            <w:vAlign w:val="center"/>
          </w:tcPr>
          <w:p w14:paraId="401E9BCD">
            <w:pPr>
              <w:adjustRightInd w:val="0"/>
              <w:snapToGrid w:val="0"/>
            </w:pPr>
          </w:p>
        </w:tc>
        <w:tc>
          <w:tcPr>
            <w:tcW w:w="929" w:type="pct"/>
            <w:vMerge w:val="continue"/>
            <w:shd w:val="clear" w:color="auto" w:fill="auto"/>
            <w:vAlign w:val="center"/>
          </w:tcPr>
          <w:p w14:paraId="6557EBC1">
            <w:pPr>
              <w:adjustRightInd w:val="0"/>
              <w:snapToGrid w:val="0"/>
            </w:pPr>
          </w:p>
        </w:tc>
        <w:tc>
          <w:tcPr>
            <w:tcW w:w="237" w:type="pct"/>
            <w:shd w:val="clear" w:color="auto" w:fill="auto"/>
            <w:noWrap/>
            <w:vAlign w:val="center"/>
          </w:tcPr>
          <w:p w14:paraId="02D6388F">
            <w:pPr>
              <w:adjustRightInd w:val="0"/>
              <w:snapToGrid w:val="0"/>
              <w:jc w:val="center"/>
              <w:rPr>
                <w:rFonts w:hAnsi="宋体" w:cs="宋体"/>
                <w:color w:val="000000"/>
                <w:kern w:val="0"/>
                <w:sz w:val="21"/>
                <w:szCs w:val="21"/>
              </w:rPr>
            </w:pPr>
            <w:r>
              <w:rPr>
                <w:rFonts w:hint="eastAsia" w:hAnsi="宋体" w:cs="宋体"/>
                <w:color w:val="000000"/>
                <w:kern w:val="0"/>
                <w:sz w:val="21"/>
                <w:szCs w:val="21"/>
              </w:rPr>
              <w:t>从重处罚</w:t>
            </w:r>
          </w:p>
        </w:tc>
        <w:tc>
          <w:tcPr>
            <w:tcW w:w="1028" w:type="pct"/>
            <w:shd w:val="clear" w:color="auto" w:fill="auto"/>
            <w:noWrap/>
            <w:vAlign w:val="center"/>
          </w:tcPr>
          <w:p w14:paraId="4C7E0E03">
            <w:pPr>
              <w:adjustRightInd w:val="0"/>
              <w:snapToGrid w:val="0"/>
              <w:rPr>
                <w:rFonts w:hAnsi="宋体" w:cs="宋体"/>
                <w:color w:val="000000"/>
                <w:kern w:val="0"/>
                <w:sz w:val="21"/>
                <w:szCs w:val="21"/>
              </w:rPr>
            </w:pPr>
            <w:r>
              <w:rPr>
                <w:rFonts w:hint="eastAsia" w:hAnsi="宋体" w:cs="宋体"/>
                <w:color w:val="000000"/>
                <w:kern w:val="0"/>
                <w:sz w:val="21"/>
                <w:szCs w:val="21"/>
              </w:rPr>
              <w:t>违法所得在100万元以上的。</w:t>
            </w:r>
          </w:p>
        </w:tc>
        <w:tc>
          <w:tcPr>
            <w:tcW w:w="612" w:type="pct"/>
            <w:shd w:val="clear" w:color="auto" w:fill="auto"/>
            <w:noWrap/>
            <w:vAlign w:val="center"/>
          </w:tcPr>
          <w:p w14:paraId="5B4B4554">
            <w:pPr>
              <w:adjustRightInd w:val="0"/>
              <w:snapToGrid w:val="0"/>
              <w:rPr>
                <w:rFonts w:hAnsi="宋体" w:cs="宋体"/>
                <w:color w:val="000000"/>
                <w:kern w:val="0"/>
                <w:sz w:val="21"/>
                <w:szCs w:val="21"/>
              </w:rPr>
            </w:pPr>
            <w:r>
              <w:rPr>
                <w:rFonts w:hint="eastAsia" w:hAnsi="宋体" w:cs="宋体"/>
                <w:color w:val="000000"/>
                <w:kern w:val="0"/>
                <w:sz w:val="21"/>
                <w:szCs w:val="21"/>
              </w:rPr>
              <w:t>警告，没收违法所得，处违法所得4倍以上5倍以下的罚款。</w:t>
            </w:r>
          </w:p>
        </w:tc>
      </w:tr>
      <w:tr w14:paraId="49C86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686" w:hRule="atLeast"/>
          <w:jc w:val="center"/>
        </w:trPr>
        <w:tc>
          <w:tcPr>
            <w:tcW w:w="201" w:type="pct"/>
            <w:gridSpan w:val="2"/>
            <w:vMerge w:val="restart"/>
            <w:shd w:val="clear" w:color="auto" w:fill="auto"/>
            <w:vAlign w:val="center"/>
          </w:tcPr>
          <w:p w14:paraId="2E9E020D">
            <w:pPr>
              <w:adjustRightInd w:val="0"/>
              <w:snapToGrid w:val="0"/>
              <w:jc w:val="center"/>
            </w:pPr>
            <w:r>
              <w:rPr>
                <w:rFonts w:hint="eastAsia" w:hAnsi="宋体" w:cs="宋体"/>
                <w:color w:val="000000"/>
                <w:kern w:val="0"/>
                <w:sz w:val="21"/>
                <w:szCs w:val="21"/>
              </w:rPr>
              <w:t>104</w:t>
            </w:r>
          </w:p>
        </w:tc>
        <w:tc>
          <w:tcPr>
            <w:tcW w:w="1050" w:type="pct"/>
            <w:vMerge w:val="restart"/>
            <w:shd w:val="clear" w:color="auto" w:fill="auto"/>
            <w:vAlign w:val="center"/>
          </w:tcPr>
          <w:p w14:paraId="2EB3CC01">
            <w:pPr>
              <w:adjustRightInd w:val="0"/>
              <w:snapToGrid w:val="0"/>
            </w:pPr>
            <w:r>
              <w:rPr>
                <w:rFonts w:hint="eastAsia" w:hAnsi="宋体" w:cs="宋体"/>
                <w:color w:val="000000"/>
                <w:kern w:val="0"/>
                <w:sz w:val="21"/>
                <w:szCs w:val="21"/>
              </w:rPr>
              <w:t>农村公益性墓地以营利为目的提供墓穴用地或者墓位。</w:t>
            </w:r>
          </w:p>
        </w:tc>
        <w:tc>
          <w:tcPr>
            <w:tcW w:w="939" w:type="pct"/>
            <w:vMerge w:val="restart"/>
            <w:shd w:val="clear" w:color="auto" w:fill="auto"/>
            <w:vAlign w:val="center"/>
          </w:tcPr>
          <w:p w14:paraId="1D4A5E41">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3DAD6ADC">
            <w:pPr>
              <w:adjustRightInd w:val="0"/>
              <w:snapToGrid w:val="0"/>
              <w:ind w:firstLine="420" w:firstLineChars="200"/>
            </w:pPr>
            <w:r>
              <w:rPr>
                <w:rFonts w:hAnsi="宋体" w:cs="宋体"/>
                <w:color w:val="000000"/>
                <w:kern w:val="0"/>
                <w:sz w:val="21"/>
                <w:szCs w:val="21"/>
                <w:lang w:val="en"/>
              </w:rPr>
              <w:t>第二十条：农村公益性墓地原则上不得向村民收取墓位使用相关费用，不得对村民以外的其他人员提供墓穴用地或者墓位。</w:t>
            </w:r>
          </w:p>
        </w:tc>
        <w:tc>
          <w:tcPr>
            <w:tcW w:w="929" w:type="pct"/>
            <w:vMerge w:val="restart"/>
            <w:shd w:val="clear" w:color="auto" w:fill="auto"/>
            <w:vAlign w:val="center"/>
          </w:tcPr>
          <w:p w14:paraId="5B48E8F7">
            <w:pPr>
              <w:adjustRightInd w:val="0"/>
              <w:snapToGrid w:val="0"/>
              <w:rPr>
                <w:rFonts w:hAnsi="宋体" w:cs="宋体"/>
                <w:color w:val="000000"/>
                <w:kern w:val="0"/>
                <w:sz w:val="21"/>
                <w:szCs w:val="21"/>
                <w:lang w:val="en"/>
              </w:rPr>
            </w:pPr>
            <w:r>
              <w:rPr>
                <w:rFonts w:hAnsi="宋体" w:cs="宋体"/>
                <w:color w:val="000000"/>
                <w:kern w:val="0"/>
                <w:sz w:val="21"/>
                <w:szCs w:val="21"/>
                <w:lang w:val="en"/>
              </w:rPr>
              <w:t>《殡葬管理条例》</w:t>
            </w:r>
          </w:p>
          <w:p w14:paraId="5EDF534F">
            <w:pPr>
              <w:adjustRightInd w:val="0"/>
              <w:snapToGrid w:val="0"/>
              <w:ind w:firstLine="420" w:firstLineChars="200"/>
            </w:pPr>
            <w:r>
              <w:rPr>
                <w:rFonts w:hAnsi="宋体" w:cs="宋体"/>
                <w:color w:val="000000"/>
                <w:kern w:val="0"/>
                <w:sz w:val="21"/>
                <w:szCs w:val="21"/>
                <w:lang w:val="en"/>
              </w:rPr>
              <w:t>第五十九条：农村公益性墓地以营利为目的提供墓穴用地或者墓位的，由县级人民政府民政部门责令改正；有违法所得的，没收违法所得，并处违法所得1倍以上5倍以下的罚款。对负有责任的领导人员和直接责任人员，依法给予处分。</w:t>
            </w:r>
          </w:p>
        </w:tc>
        <w:tc>
          <w:tcPr>
            <w:tcW w:w="237" w:type="pct"/>
            <w:shd w:val="clear" w:color="auto" w:fill="auto"/>
            <w:noWrap/>
            <w:vAlign w:val="center"/>
          </w:tcPr>
          <w:p w14:paraId="1F1B20E2">
            <w:pPr>
              <w:adjustRightInd w:val="0"/>
              <w:snapToGrid w:val="0"/>
              <w:jc w:val="center"/>
              <w:rPr>
                <w:rFonts w:hAnsi="宋体" w:cs="宋体"/>
                <w:color w:val="000000"/>
                <w:kern w:val="0"/>
                <w:sz w:val="21"/>
                <w:szCs w:val="21"/>
              </w:rPr>
            </w:pPr>
            <w:r>
              <w:rPr>
                <w:rFonts w:hint="eastAsia" w:hAnsi="宋体" w:cs="宋体"/>
                <w:color w:val="000000"/>
                <w:kern w:val="0"/>
                <w:sz w:val="21"/>
                <w:szCs w:val="21"/>
              </w:rPr>
              <w:t>从轻处罚</w:t>
            </w:r>
          </w:p>
        </w:tc>
        <w:tc>
          <w:tcPr>
            <w:tcW w:w="1028" w:type="pct"/>
            <w:shd w:val="clear" w:color="auto" w:fill="auto"/>
            <w:noWrap/>
            <w:vAlign w:val="center"/>
          </w:tcPr>
          <w:p w14:paraId="32C4E072">
            <w:pPr>
              <w:adjustRightInd w:val="0"/>
              <w:snapToGrid w:val="0"/>
              <w:rPr>
                <w:rFonts w:hAnsi="宋体" w:cs="宋体"/>
                <w:color w:val="000000"/>
                <w:kern w:val="0"/>
                <w:sz w:val="21"/>
                <w:szCs w:val="21"/>
              </w:rPr>
            </w:pPr>
            <w:r>
              <w:rPr>
                <w:rFonts w:hAnsi="宋体" w:cs="宋体"/>
                <w:color w:val="000000"/>
                <w:kern w:val="0"/>
                <w:sz w:val="21"/>
                <w:szCs w:val="21"/>
                <w:lang w:val="en"/>
              </w:rPr>
              <w:t>违法所得</w:t>
            </w:r>
            <w:r>
              <w:rPr>
                <w:rFonts w:hint="eastAsia" w:hAnsi="宋体" w:cs="宋体"/>
                <w:color w:val="000000"/>
                <w:kern w:val="0"/>
                <w:sz w:val="21"/>
                <w:szCs w:val="21"/>
              </w:rPr>
              <w:t>不足5万元的；或者具有其他情节较轻情形的。</w:t>
            </w:r>
          </w:p>
        </w:tc>
        <w:tc>
          <w:tcPr>
            <w:tcW w:w="612" w:type="pct"/>
            <w:shd w:val="clear" w:color="auto" w:fill="auto"/>
            <w:noWrap/>
            <w:vAlign w:val="center"/>
          </w:tcPr>
          <w:p w14:paraId="0DCC318C">
            <w:pPr>
              <w:adjustRightInd w:val="0"/>
              <w:snapToGrid w:val="0"/>
              <w:rPr>
                <w:rFonts w:hAnsi="宋体" w:cs="宋体"/>
                <w:color w:val="000000"/>
                <w:kern w:val="0"/>
                <w:sz w:val="21"/>
                <w:szCs w:val="21"/>
              </w:rPr>
            </w:pPr>
            <w:r>
              <w:rPr>
                <w:rFonts w:hint="eastAsia" w:hAnsi="宋体" w:cs="宋体"/>
                <w:color w:val="000000"/>
                <w:kern w:val="0"/>
                <w:sz w:val="21"/>
                <w:szCs w:val="21"/>
              </w:rPr>
              <w:t>没收违法所得，处1倍以上不超过2倍的罚款。</w:t>
            </w:r>
          </w:p>
        </w:tc>
      </w:tr>
      <w:tr w14:paraId="51E7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686" w:hRule="atLeast"/>
          <w:jc w:val="center"/>
        </w:trPr>
        <w:tc>
          <w:tcPr>
            <w:tcW w:w="201" w:type="pct"/>
            <w:gridSpan w:val="2"/>
            <w:vMerge w:val="continue"/>
            <w:shd w:val="clear" w:color="auto" w:fill="auto"/>
            <w:vAlign w:val="center"/>
          </w:tcPr>
          <w:p w14:paraId="33006452">
            <w:pPr>
              <w:adjustRightInd w:val="0"/>
              <w:snapToGrid w:val="0"/>
            </w:pPr>
          </w:p>
        </w:tc>
        <w:tc>
          <w:tcPr>
            <w:tcW w:w="1050" w:type="pct"/>
            <w:vMerge w:val="continue"/>
            <w:shd w:val="clear" w:color="auto" w:fill="auto"/>
            <w:vAlign w:val="center"/>
          </w:tcPr>
          <w:p w14:paraId="7F246CD0">
            <w:pPr>
              <w:adjustRightInd w:val="0"/>
              <w:snapToGrid w:val="0"/>
            </w:pPr>
          </w:p>
        </w:tc>
        <w:tc>
          <w:tcPr>
            <w:tcW w:w="939" w:type="pct"/>
            <w:vMerge w:val="continue"/>
            <w:shd w:val="clear" w:color="auto" w:fill="auto"/>
            <w:vAlign w:val="center"/>
          </w:tcPr>
          <w:p w14:paraId="0E028EB8">
            <w:pPr>
              <w:adjustRightInd w:val="0"/>
              <w:snapToGrid w:val="0"/>
            </w:pPr>
          </w:p>
        </w:tc>
        <w:tc>
          <w:tcPr>
            <w:tcW w:w="929" w:type="pct"/>
            <w:vMerge w:val="continue"/>
            <w:shd w:val="clear" w:color="auto" w:fill="auto"/>
            <w:vAlign w:val="center"/>
          </w:tcPr>
          <w:p w14:paraId="157B98D7">
            <w:pPr>
              <w:adjustRightInd w:val="0"/>
              <w:snapToGrid w:val="0"/>
            </w:pPr>
          </w:p>
        </w:tc>
        <w:tc>
          <w:tcPr>
            <w:tcW w:w="237" w:type="pct"/>
            <w:shd w:val="clear" w:color="auto" w:fill="auto"/>
            <w:noWrap/>
            <w:vAlign w:val="center"/>
          </w:tcPr>
          <w:p w14:paraId="77B82487">
            <w:pPr>
              <w:adjustRightInd w:val="0"/>
              <w:snapToGrid w:val="0"/>
              <w:jc w:val="center"/>
              <w:rPr>
                <w:rFonts w:hAnsi="宋体" w:cs="宋体"/>
                <w:color w:val="000000"/>
                <w:kern w:val="0"/>
                <w:sz w:val="21"/>
                <w:szCs w:val="21"/>
              </w:rPr>
            </w:pPr>
            <w:r>
              <w:rPr>
                <w:rFonts w:hint="eastAsia" w:hAnsi="宋体" w:cs="宋体"/>
                <w:color w:val="000000"/>
                <w:kern w:val="0"/>
                <w:sz w:val="21"/>
                <w:szCs w:val="21"/>
              </w:rPr>
              <w:t>一般处罚</w:t>
            </w:r>
          </w:p>
        </w:tc>
        <w:tc>
          <w:tcPr>
            <w:tcW w:w="1028" w:type="pct"/>
            <w:shd w:val="clear" w:color="auto" w:fill="auto"/>
            <w:noWrap/>
            <w:vAlign w:val="center"/>
          </w:tcPr>
          <w:p w14:paraId="4F5EE814">
            <w:pPr>
              <w:adjustRightInd w:val="0"/>
              <w:snapToGrid w:val="0"/>
              <w:rPr>
                <w:rFonts w:hAnsi="宋体" w:cs="宋体"/>
                <w:color w:val="000000"/>
                <w:kern w:val="0"/>
                <w:sz w:val="21"/>
                <w:szCs w:val="21"/>
              </w:rPr>
            </w:pPr>
            <w:r>
              <w:rPr>
                <w:rFonts w:hAnsi="宋体" w:cs="宋体"/>
                <w:color w:val="000000"/>
                <w:kern w:val="0"/>
                <w:sz w:val="21"/>
                <w:szCs w:val="21"/>
                <w:lang w:val="en"/>
              </w:rPr>
              <w:t>违法所得</w:t>
            </w:r>
            <w:r>
              <w:rPr>
                <w:rFonts w:hint="eastAsia" w:hAnsi="宋体" w:cs="宋体"/>
                <w:color w:val="000000"/>
                <w:kern w:val="0"/>
                <w:sz w:val="21"/>
                <w:szCs w:val="21"/>
              </w:rPr>
              <w:t>5万元以上不足10万元的；或者具有其他情节较重情形的。</w:t>
            </w:r>
          </w:p>
        </w:tc>
        <w:tc>
          <w:tcPr>
            <w:tcW w:w="612" w:type="pct"/>
            <w:shd w:val="clear" w:color="auto" w:fill="auto"/>
            <w:noWrap/>
            <w:vAlign w:val="center"/>
          </w:tcPr>
          <w:p w14:paraId="7A838F29">
            <w:pPr>
              <w:adjustRightInd w:val="0"/>
              <w:snapToGrid w:val="0"/>
              <w:rPr>
                <w:rFonts w:hAnsi="宋体" w:cs="宋体"/>
                <w:color w:val="000000"/>
                <w:kern w:val="0"/>
                <w:sz w:val="21"/>
                <w:szCs w:val="21"/>
              </w:rPr>
            </w:pPr>
            <w:r>
              <w:rPr>
                <w:rFonts w:hint="eastAsia" w:hAnsi="宋体" w:cs="宋体"/>
                <w:color w:val="000000"/>
                <w:kern w:val="0"/>
                <w:sz w:val="21"/>
                <w:szCs w:val="21"/>
              </w:rPr>
              <w:t>没收违法所得，处2倍以上不超过4倍的罚款。</w:t>
            </w:r>
          </w:p>
        </w:tc>
      </w:tr>
      <w:tr w14:paraId="07855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686" w:hRule="atLeast"/>
          <w:jc w:val="center"/>
        </w:trPr>
        <w:tc>
          <w:tcPr>
            <w:tcW w:w="201" w:type="pct"/>
            <w:gridSpan w:val="2"/>
            <w:vMerge w:val="continue"/>
            <w:shd w:val="clear" w:color="auto" w:fill="auto"/>
            <w:vAlign w:val="center"/>
          </w:tcPr>
          <w:p w14:paraId="038B930A">
            <w:pPr>
              <w:adjustRightInd w:val="0"/>
              <w:snapToGrid w:val="0"/>
              <w:rPr>
                <w:rFonts w:hAnsi="宋体" w:cs="宋体"/>
                <w:color w:val="000000"/>
                <w:kern w:val="0"/>
                <w:sz w:val="21"/>
                <w:szCs w:val="21"/>
              </w:rPr>
            </w:pPr>
          </w:p>
        </w:tc>
        <w:tc>
          <w:tcPr>
            <w:tcW w:w="1050" w:type="pct"/>
            <w:vMerge w:val="continue"/>
            <w:shd w:val="clear" w:color="auto" w:fill="auto"/>
            <w:vAlign w:val="center"/>
          </w:tcPr>
          <w:p w14:paraId="3255C338">
            <w:pPr>
              <w:adjustRightInd w:val="0"/>
              <w:snapToGrid w:val="0"/>
              <w:rPr>
                <w:rFonts w:hAnsi="宋体" w:cs="宋体"/>
                <w:color w:val="000000"/>
                <w:kern w:val="0"/>
                <w:sz w:val="21"/>
                <w:szCs w:val="21"/>
              </w:rPr>
            </w:pPr>
          </w:p>
        </w:tc>
        <w:tc>
          <w:tcPr>
            <w:tcW w:w="939" w:type="pct"/>
            <w:vMerge w:val="continue"/>
            <w:shd w:val="clear" w:color="auto" w:fill="auto"/>
            <w:vAlign w:val="center"/>
          </w:tcPr>
          <w:p w14:paraId="71ABE0A4">
            <w:pPr>
              <w:adjustRightInd w:val="0"/>
              <w:snapToGrid w:val="0"/>
              <w:rPr>
                <w:rFonts w:hAnsi="宋体" w:cs="宋体"/>
                <w:color w:val="000000"/>
                <w:kern w:val="0"/>
                <w:sz w:val="21"/>
                <w:szCs w:val="21"/>
              </w:rPr>
            </w:pPr>
          </w:p>
        </w:tc>
        <w:tc>
          <w:tcPr>
            <w:tcW w:w="929" w:type="pct"/>
            <w:vMerge w:val="continue"/>
            <w:shd w:val="clear" w:color="auto" w:fill="auto"/>
            <w:vAlign w:val="center"/>
          </w:tcPr>
          <w:p w14:paraId="55C36CD5">
            <w:pPr>
              <w:adjustRightInd w:val="0"/>
              <w:snapToGrid w:val="0"/>
              <w:rPr>
                <w:rFonts w:hAnsi="宋体" w:cs="宋体"/>
                <w:color w:val="000000"/>
                <w:kern w:val="0"/>
                <w:sz w:val="21"/>
                <w:szCs w:val="21"/>
              </w:rPr>
            </w:pPr>
          </w:p>
        </w:tc>
        <w:tc>
          <w:tcPr>
            <w:tcW w:w="237" w:type="pct"/>
            <w:shd w:val="clear" w:color="auto" w:fill="auto"/>
            <w:noWrap/>
            <w:vAlign w:val="center"/>
          </w:tcPr>
          <w:p w14:paraId="78E49D49">
            <w:pPr>
              <w:adjustRightInd w:val="0"/>
              <w:snapToGrid w:val="0"/>
              <w:jc w:val="center"/>
              <w:rPr>
                <w:rFonts w:hAnsi="宋体" w:cs="宋体"/>
                <w:color w:val="000000"/>
                <w:kern w:val="0"/>
                <w:sz w:val="21"/>
                <w:szCs w:val="21"/>
              </w:rPr>
            </w:pPr>
            <w:r>
              <w:rPr>
                <w:rFonts w:hint="eastAsia" w:hAnsi="宋体" w:cs="宋体"/>
                <w:color w:val="000000"/>
                <w:kern w:val="0"/>
                <w:sz w:val="21"/>
                <w:szCs w:val="21"/>
              </w:rPr>
              <w:t>从重处罚</w:t>
            </w:r>
          </w:p>
        </w:tc>
        <w:tc>
          <w:tcPr>
            <w:tcW w:w="1028" w:type="pct"/>
            <w:shd w:val="clear" w:color="auto" w:fill="auto"/>
            <w:noWrap/>
            <w:vAlign w:val="center"/>
          </w:tcPr>
          <w:p w14:paraId="091E8D9D">
            <w:pPr>
              <w:adjustRightInd w:val="0"/>
              <w:snapToGrid w:val="0"/>
              <w:rPr>
                <w:rFonts w:hAnsi="宋体" w:cs="宋体"/>
                <w:color w:val="000000"/>
                <w:kern w:val="0"/>
                <w:sz w:val="21"/>
                <w:szCs w:val="21"/>
              </w:rPr>
            </w:pPr>
            <w:r>
              <w:rPr>
                <w:rFonts w:hAnsi="宋体" w:cs="宋体"/>
                <w:color w:val="000000"/>
                <w:kern w:val="0"/>
                <w:sz w:val="21"/>
                <w:szCs w:val="21"/>
                <w:lang w:val="en"/>
              </w:rPr>
              <w:t>违法所得</w:t>
            </w:r>
            <w:r>
              <w:rPr>
                <w:rFonts w:hint="eastAsia" w:hAnsi="宋体" w:cs="宋体"/>
                <w:color w:val="000000"/>
                <w:kern w:val="0"/>
                <w:sz w:val="21"/>
                <w:szCs w:val="21"/>
              </w:rPr>
              <w:t>10万元以上的；或者具有其他情节严重情形的。</w:t>
            </w:r>
          </w:p>
        </w:tc>
        <w:tc>
          <w:tcPr>
            <w:tcW w:w="612" w:type="pct"/>
            <w:shd w:val="clear" w:color="auto" w:fill="auto"/>
            <w:noWrap/>
            <w:vAlign w:val="center"/>
          </w:tcPr>
          <w:p w14:paraId="66D86366">
            <w:pPr>
              <w:adjustRightInd w:val="0"/>
              <w:snapToGrid w:val="0"/>
              <w:rPr>
                <w:rFonts w:hAnsi="宋体" w:cs="宋体"/>
                <w:color w:val="000000"/>
                <w:kern w:val="0"/>
                <w:sz w:val="21"/>
                <w:szCs w:val="21"/>
              </w:rPr>
            </w:pPr>
            <w:r>
              <w:rPr>
                <w:rFonts w:hint="eastAsia" w:hAnsi="宋体" w:cs="宋体"/>
                <w:color w:val="000000"/>
                <w:kern w:val="0"/>
                <w:sz w:val="21"/>
                <w:szCs w:val="21"/>
              </w:rPr>
              <w:t>没收违法所得，处4倍以上5倍以下的罚款。</w:t>
            </w:r>
          </w:p>
        </w:tc>
      </w:tr>
      <w:tr w14:paraId="15B31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656" w:hRule="atLeast"/>
          <w:jc w:val="center"/>
        </w:trPr>
        <w:tc>
          <w:tcPr>
            <w:tcW w:w="201" w:type="pct"/>
            <w:gridSpan w:val="2"/>
            <w:vMerge w:val="restart"/>
            <w:shd w:val="clear" w:color="auto" w:fill="auto"/>
            <w:vAlign w:val="center"/>
          </w:tcPr>
          <w:p w14:paraId="7E63A73A">
            <w:pPr>
              <w:adjustRightInd w:val="0"/>
              <w:snapToGrid w:val="0"/>
              <w:jc w:val="center"/>
            </w:pPr>
            <w:r>
              <w:rPr>
                <w:rFonts w:hint="eastAsia" w:hAnsi="宋体" w:cs="宋体"/>
                <w:color w:val="000000"/>
                <w:kern w:val="0"/>
                <w:sz w:val="21"/>
                <w:szCs w:val="21"/>
              </w:rPr>
              <w:t>105</w:t>
            </w:r>
          </w:p>
        </w:tc>
        <w:tc>
          <w:tcPr>
            <w:tcW w:w="1050" w:type="pct"/>
            <w:vMerge w:val="restart"/>
            <w:shd w:val="clear" w:color="auto" w:fill="auto"/>
            <w:vAlign w:val="center"/>
          </w:tcPr>
          <w:p w14:paraId="13D0DD37">
            <w:pPr>
              <w:adjustRightInd w:val="0"/>
              <w:snapToGrid w:val="0"/>
            </w:pPr>
            <w:r>
              <w:rPr>
                <w:rFonts w:hint="eastAsia" w:hAnsi="宋体" w:cs="宋体"/>
                <w:color w:val="000000"/>
                <w:kern w:val="0"/>
                <w:sz w:val="21"/>
                <w:szCs w:val="21"/>
              </w:rPr>
              <w:t>建立或者恢复宗族墓地。</w:t>
            </w:r>
          </w:p>
        </w:tc>
        <w:tc>
          <w:tcPr>
            <w:tcW w:w="939" w:type="pct"/>
            <w:vMerge w:val="restart"/>
            <w:shd w:val="clear" w:color="auto" w:fill="auto"/>
            <w:vAlign w:val="center"/>
          </w:tcPr>
          <w:p w14:paraId="5E73B2E1">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526AB1F1">
            <w:pPr>
              <w:adjustRightInd w:val="0"/>
              <w:snapToGrid w:val="0"/>
              <w:ind w:firstLine="420" w:firstLineChars="200"/>
            </w:pPr>
            <w:r>
              <w:rPr>
                <w:rFonts w:hint="eastAsia" w:hAnsi="宋体" w:cs="宋体"/>
                <w:color w:val="000000"/>
                <w:kern w:val="0"/>
                <w:sz w:val="21"/>
                <w:szCs w:val="21"/>
              </w:rPr>
              <w:t>第二十一条：禁止建立或者恢复宗族墓地。</w:t>
            </w:r>
          </w:p>
        </w:tc>
        <w:tc>
          <w:tcPr>
            <w:tcW w:w="929" w:type="pct"/>
            <w:vMerge w:val="restart"/>
            <w:shd w:val="clear" w:color="auto" w:fill="auto"/>
            <w:vAlign w:val="center"/>
          </w:tcPr>
          <w:p w14:paraId="7495E465">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3A3257AD">
            <w:pPr>
              <w:adjustRightInd w:val="0"/>
              <w:snapToGrid w:val="0"/>
              <w:ind w:firstLine="420" w:firstLineChars="200"/>
            </w:pPr>
            <w:r>
              <w:rPr>
                <w:rFonts w:hint="eastAsia" w:hAnsi="宋体" w:cs="宋体"/>
                <w:color w:val="000000"/>
                <w:kern w:val="0"/>
                <w:sz w:val="21"/>
                <w:szCs w:val="21"/>
              </w:rPr>
              <w:t>第六十一条：建立或者恢复宗族墓地的，由县级以上地方人民政府民政部门责令限期改正，并视情节轻重、危害程度等情况处1万元以上5万元以下的罚款。</w:t>
            </w:r>
          </w:p>
        </w:tc>
        <w:tc>
          <w:tcPr>
            <w:tcW w:w="237" w:type="pct"/>
            <w:shd w:val="clear" w:color="auto" w:fill="auto"/>
            <w:noWrap/>
            <w:vAlign w:val="center"/>
          </w:tcPr>
          <w:p w14:paraId="2A486E7F">
            <w:pPr>
              <w:adjustRightInd w:val="0"/>
              <w:snapToGrid w:val="0"/>
              <w:jc w:val="center"/>
              <w:rPr>
                <w:rFonts w:hAnsi="宋体" w:cs="宋体"/>
                <w:kern w:val="0"/>
                <w:sz w:val="21"/>
                <w:szCs w:val="21"/>
              </w:rPr>
            </w:pPr>
            <w:r>
              <w:rPr>
                <w:rFonts w:hint="eastAsia" w:hAnsi="宋体" w:cs="宋体"/>
                <w:kern w:val="0"/>
                <w:sz w:val="21"/>
                <w:szCs w:val="21"/>
              </w:rPr>
              <w:t>从轻处罚</w:t>
            </w:r>
          </w:p>
        </w:tc>
        <w:tc>
          <w:tcPr>
            <w:tcW w:w="1028" w:type="pct"/>
            <w:shd w:val="clear" w:color="auto" w:fill="auto"/>
            <w:noWrap/>
            <w:vAlign w:val="center"/>
          </w:tcPr>
          <w:p w14:paraId="3D02F484">
            <w:pPr>
              <w:adjustRightInd w:val="0"/>
              <w:snapToGrid w:val="0"/>
              <w:rPr>
                <w:rFonts w:hAnsi="宋体" w:cs="宋体"/>
                <w:kern w:val="0"/>
                <w:sz w:val="21"/>
                <w:szCs w:val="21"/>
              </w:rPr>
            </w:pPr>
            <w:r>
              <w:rPr>
                <w:rFonts w:hint="eastAsia" w:hAnsi="宋体" w:cs="宋体"/>
                <w:kern w:val="0"/>
                <w:sz w:val="21"/>
                <w:szCs w:val="21"/>
              </w:rPr>
              <w:t>具有以下情形之一：</w:t>
            </w:r>
          </w:p>
          <w:p w14:paraId="55CB796A">
            <w:pPr>
              <w:adjustRightInd w:val="0"/>
              <w:snapToGrid w:val="0"/>
              <w:rPr>
                <w:rFonts w:hAnsi="宋体" w:cs="宋体"/>
                <w:kern w:val="0"/>
                <w:sz w:val="21"/>
                <w:szCs w:val="21"/>
              </w:rPr>
            </w:pPr>
            <w:r>
              <w:rPr>
                <w:rFonts w:hint="eastAsia" w:hAnsi="宋体" w:cs="宋体"/>
                <w:kern w:val="0"/>
                <w:sz w:val="21"/>
                <w:szCs w:val="21"/>
              </w:rPr>
              <w:t>1.占地面积30平方米以下的；</w:t>
            </w:r>
          </w:p>
          <w:p w14:paraId="41E2E203">
            <w:pPr>
              <w:adjustRightInd w:val="0"/>
              <w:snapToGrid w:val="0"/>
              <w:rPr>
                <w:rFonts w:hAnsi="宋体" w:cs="宋体"/>
                <w:kern w:val="0"/>
                <w:sz w:val="21"/>
                <w:szCs w:val="21"/>
              </w:rPr>
            </w:pPr>
            <w:r>
              <w:rPr>
                <w:rFonts w:hAnsi="宋体" w:cs="宋体"/>
                <w:kern w:val="0"/>
                <w:sz w:val="21"/>
                <w:szCs w:val="21"/>
              </w:rPr>
              <w:t>2</w:t>
            </w:r>
            <w:r>
              <w:rPr>
                <w:rFonts w:hint="eastAsia" w:hAnsi="宋体" w:cs="宋体"/>
                <w:kern w:val="0"/>
                <w:sz w:val="21"/>
                <w:szCs w:val="21"/>
              </w:rPr>
              <w:t>.造成较小不良社会影响或具有其他情节较轻情形的。</w:t>
            </w:r>
          </w:p>
        </w:tc>
        <w:tc>
          <w:tcPr>
            <w:tcW w:w="612" w:type="pct"/>
            <w:shd w:val="clear" w:color="auto" w:fill="auto"/>
            <w:noWrap/>
            <w:vAlign w:val="center"/>
          </w:tcPr>
          <w:p w14:paraId="49CBA2EC">
            <w:pPr>
              <w:adjustRightInd w:val="0"/>
              <w:snapToGrid w:val="0"/>
              <w:rPr>
                <w:rFonts w:hAnsi="宋体" w:cs="宋体"/>
                <w:color w:val="000000"/>
                <w:kern w:val="0"/>
                <w:sz w:val="21"/>
                <w:szCs w:val="21"/>
              </w:rPr>
            </w:pPr>
            <w:r>
              <w:rPr>
                <w:rFonts w:hint="eastAsia" w:hAnsi="宋体" w:cs="宋体"/>
                <w:color w:val="000000"/>
                <w:kern w:val="0"/>
                <w:sz w:val="21"/>
                <w:szCs w:val="21"/>
              </w:rPr>
              <w:t>处1万元以上不超过2万元的罚款。</w:t>
            </w:r>
          </w:p>
        </w:tc>
      </w:tr>
      <w:tr w14:paraId="465E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656" w:hRule="atLeast"/>
          <w:jc w:val="center"/>
        </w:trPr>
        <w:tc>
          <w:tcPr>
            <w:tcW w:w="201" w:type="pct"/>
            <w:gridSpan w:val="2"/>
            <w:vMerge w:val="continue"/>
            <w:shd w:val="clear" w:color="auto" w:fill="auto"/>
            <w:vAlign w:val="center"/>
          </w:tcPr>
          <w:p w14:paraId="17315831">
            <w:pPr>
              <w:adjustRightInd w:val="0"/>
              <w:snapToGrid w:val="0"/>
            </w:pPr>
          </w:p>
        </w:tc>
        <w:tc>
          <w:tcPr>
            <w:tcW w:w="1050" w:type="pct"/>
            <w:vMerge w:val="continue"/>
            <w:shd w:val="clear" w:color="auto" w:fill="auto"/>
            <w:vAlign w:val="center"/>
          </w:tcPr>
          <w:p w14:paraId="614D1D24">
            <w:pPr>
              <w:adjustRightInd w:val="0"/>
              <w:snapToGrid w:val="0"/>
            </w:pPr>
          </w:p>
        </w:tc>
        <w:tc>
          <w:tcPr>
            <w:tcW w:w="939" w:type="pct"/>
            <w:vMerge w:val="continue"/>
            <w:shd w:val="clear" w:color="auto" w:fill="auto"/>
            <w:vAlign w:val="center"/>
          </w:tcPr>
          <w:p w14:paraId="0F5D44AD">
            <w:pPr>
              <w:adjustRightInd w:val="0"/>
              <w:snapToGrid w:val="0"/>
            </w:pPr>
          </w:p>
        </w:tc>
        <w:tc>
          <w:tcPr>
            <w:tcW w:w="929" w:type="pct"/>
            <w:vMerge w:val="continue"/>
            <w:shd w:val="clear" w:color="auto" w:fill="auto"/>
            <w:vAlign w:val="center"/>
          </w:tcPr>
          <w:p w14:paraId="309837BC">
            <w:pPr>
              <w:adjustRightInd w:val="0"/>
              <w:snapToGrid w:val="0"/>
            </w:pPr>
          </w:p>
        </w:tc>
        <w:tc>
          <w:tcPr>
            <w:tcW w:w="237" w:type="pct"/>
            <w:shd w:val="clear" w:color="auto" w:fill="auto"/>
            <w:noWrap/>
            <w:vAlign w:val="center"/>
          </w:tcPr>
          <w:p w14:paraId="053022E9">
            <w:pPr>
              <w:adjustRightInd w:val="0"/>
              <w:snapToGrid w:val="0"/>
              <w:jc w:val="center"/>
              <w:rPr>
                <w:rFonts w:hAnsi="宋体" w:cs="宋体"/>
                <w:kern w:val="0"/>
                <w:sz w:val="21"/>
                <w:szCs w:val="21"/>
              </w:rPr>
            </w:pPr>
            <w:r>
              <w:rPr>
                <w:rFonts w:hint="eastAsia" w:hAnsi="宋体" w:cs="宋体"/>
                <w:kern w:val="0"/>
                <w:sz w:val="21"/>
                <w:szCs w:val="21"/>
              </w:rPr>
              <w:t>一般处罚</w:t>
            </w:r>
          </w:p>
        </w:tc>
        <w:tc>
          <w:tcPr>
            <w:tcW w:w="1028" w:type="pct"/>
            <w:shd w:val="clear" w:color="auto" w:fill="auto"/>
            <w:noWrap/>
            <w:vAlign w:val="center"/>
          </w:tcPr>
          <w:p w14:paraId="723E4B00">
            <w:pPr>
              <w:adjustRightInd w:val="0"/>
              <w:snapToGrid w:val="0"/>
              <w:rPr>
                <w:rFonts w:hAnsi="宋体" w:cs="宋体"/>
                <w:kern w:val="0"/>
                <w:sz w:val="21"/>
                <w:szCs w:val="21"/>
              </w:rPr>
            </w:pPr>
            <w:r>
              <w:rPr>
                <w:rFonts w:hint="eastAsia" w:hAnsi="宋体" w:cs="宋体"/>
                <w:kern w:val="0"/>
                <w:sz w:val="21"/>
                <w:szCs w:val="21"/>
              </w:rPr>
              <w:t>具有以下情形之一：</w:t>
            </w:r>
          </w:p>
          <w:p w14:paraId="6D536B41">
            <w:pPr>
              <w:adjustRightInd w:val="0"/>
              <w:snapToGrid w:val="0"/>
              <w:rPr>
                <w:rFonts w:hAnsi="宋体" w:cs="宋体"/>
                <w:kern w:val="0"/>
                <w:sz w:val="21"/>
                <w:szCs w:val="21"/>
              </w:rPr>
            </w:pPr>
            <w:r>
              <w:rPr>
                <w:rFonts w:hint="eastAsia" w:hAnsi="宋体" w:cs="宋体"/>
                <w:kern w:val="0"/>
                <w:sz w:val="21"/>
                <w:szCs w:val="21"/>
              </w:rPr>
              <w:t>1.占地面积30平方米以上不超过50平方米的；</w:t>
            </w:r>
          </w:p>
          <w:p w14:paraId="4934ACF9">
            <w:pPr>
              <w:adjustRightInd w:val="0"/>
              <w:snapToGrid w:val="0"/>
              <w:rPr>
                <w:rFonts w:hAnsi="宋体" w:cs="宋体"/>
                <w:kern w:val="0"/>
                <w:sz w:val="21"/>
                <w:szCs w:val="21"/>
              </w:rPr>
            </w:pPr>
            <w:r>
              <w:rPr>
                <w:rFonts w:hAnsi="宋体" w:cs="宋体"/>
                <w:kern w:val="0"/>
                <w:sz w:val="21"/>
                <w:szCs w:val="21"/>
              </w:rPr>
              <w:t>2</w:t>
            </w:r>
            <w:r>
              <w:rPr>
                <w:rFonts w:hint="eastAsia" w:hAnsi="宋体" w:cs="宋体"/>
                <w:kern w:val="0"/>
                <w:sz w:val="21"/>
                <w:szCs w:val="21"/>
              </w:rPr>
              <w:t>.造成较大不良社会影响或具有其他情节较重情形的。</w:t>
            </w:r>
          </w:p>
        </w:tc>
        <w:tc>
          <w:tcPr>
            <w:tcW w:w="612" w:type="pct"/>
            <w:shd w:val="clear" w:color="auto" w:fill="auto"/>
            <w:noWrap/>
            <w:vAlign w:val="center"/>
          </w:tcPr>
          <w:p w14:paraId="08AF4652">
            <w:pPr>
              <w:adjustRightInd w:val="0"/>
              <w:snapToGrid w:val="0"/>
              <w:rPr>
                <w:rFonts w:hAnsi="宋体" w:cs="宋体"/>
                <w:color w:val="000000"/>
                <w:kern w:val="0"/>
                <w:sz w:val="21"/>
                <w:szCs w:val="21"/>
              </w:rPr>
            </w:pPr>
            <w:r>
              <w:rPr>
                <w:rFonts w:hint="eastAsia" w:hAnsi="宋体" w:cs="宋体"/>
                <w:color w:val="000000"/>
                <w:kern w:val="0"/>
                <w:sz w:val="21"/>
                <w:szCs w:val="21"/>
              </w:rPr>
              <w:t>处2万元以上不超过4万元的罚款。</w:t>
            </w:r>
          </w:p>
        </w:tc>
      </w:tr>
      <w:tr w14:paraId="46934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656" w:hRule="atLeast"/>
          <w:jc w:val="center"/>
        </w:trPr>
        <w:tc>
          <w:tcPr>
            <w:tcW w:w="201" w:type="pct"/>
            <w:gridSpan w:val="2"/>
            <w:vMerge w:val="continue"/>
            <w:shd w:val="clear" w:color="auto" w:fill="auto"/>
            <w:vAlign w:val="center"/>
          </w:tcPr>
          <w:p w14:paraId="264CDEFA">
            <w:pPr>
              <w:adjustRightInd w:val="0"/>
              <w:snapToGrid w:val="0"/>
              <w:rPr>
                <w:rFonts w:hAnsi="宋体" w:cs="宋体"/>
                <w:color w:val="000000"/>
                <w:kern w:val="0"/>
                <w:sz w:val="21"/>
                <w:szCs w:val="21"/>
              </w:rPr>
            </w:pPr>
          </w:p>
        </w:tc>
        <w:tc>
          <w:tcPr>
            <w:tcW w:w="1050" w:type="pct"/>
            <w:vMerge w:val="continue"/>
            <w:shd w:val="clear" w:color="auto" w:fill="auto"/>
            <w:vAlign w:val="center"/>
          </w:tcPr>
          <w:p w14:paraId="70CE2B41">
            <w:pPr>
              <w:adjustRightInd w:val="0"/>
              <w:snapToGrid w:val="0"/>
              <w:rPr>
                <w:rFonts w:hAnsi="宋体" w:cs="宋体"/>
                <w:color w:val="000000"/>
                <w:kern w:val="0"/>
                <w:sz w:val="21"/>
                <w:szCs w:val="21"/>
              </w:rPr>
            </w:pPr>
          </w:p>
        </w:tc>
        <w:tc>
          <w:tcPr>
            <w:tcW w:w="939" w:type="pct"/>
            <w:vMerge w:val="continue"/>
            <w:shd w:val="clear" w:color="auto" w:fill="auto"/>
            <w:vAlign w:val="center"/>
          </w:tcPr>
          <w:p w14:paraId="3DD7C251">
            <w:pPr>
              <w:adjustRightInd w:val="0"/>
              <w:snapToGrid w:val="0"/>
              <w:rPr>
                <w:rFonts w:hAnsi="宋体" w:cs="宋体"/>
                <w:color w:val="000000"/>
                <w:kern w:val="0"/>
                <w:sz w:val="21"/>
                <w:szCs w:val="21"/>
              </w:rPr>
            </w:pPr>
          </w:p>
        </w:tc>
        <w:tc>
          <w:tcPr>
            <w:tcW w:w="929" w:type="pct"/>
            <w:vMerge w:val="continue"/>
            <w:shd w:val="clear" w:color="auto" w:fill="auto"/>
            <w:vAlign w:val="center"/>
          </w:tcPr>
          <w:p w14:paraId="0DE9005D">
            <w:pPr>
              <w:adjustRightInd w:val="0"/>
              <w:snapToGrid w:val="0"/>
              <w:rPr>
                <w:rFonts w:hAnsi="宋体" w:cs="宋体"/>
                <w:color w:val="000000"/>
                <w:kern w:val="0"/>
                <w:sz w:val="21"/>
                <w:szCs w:val="21"/>
              </w:rPr>
            </w:pPr>
          </w:p>
        </w:tc>
        <w:tc>
          <w:tcPr>
            <w:tcW w:w="237" w:type="pct"/>
            <w:shd w:val="clear" w:color="auto" w:fill="auto"/>
            <w:noWrap/>
            <w:vAlign w:val="center"/>
          </w:tcPr>
          <w:p w14:paraId="6713E6EE">
            <w:pPr>
              <w:adjustRightInd w:val="0"/>
              <w:snapToGrid w:val="0"/>
              <w:jc w:val="center"/>
              <w:rPr>
                <w:rFonts w:hAnsi="宋体" w:cs="宋体"/>
                <w:kern w:val="0"/>
                <w:sz w:val="21"/>
                <w:szCs w:val="21"/>
              </w:rPr>
            </w:pPr>
            <w:r>
              <w:rPr>
                <w:rFonts w:hint="eastAsia" w:hAnsi="宋体" w:cs="宋体"/>
                <w:kern w:val="0"/>
                <w:sz w:val="21"/>
                <w:szCs w:val="21"/>
              </w:rPr>
              <w:t>从重处罚</w:t>
            </w:r>
          </w:p>
        </w:tc>
        <w:tc>
          <w:tcPr>
            <w:tcW w:w="1028" w:type="pct"/>
            <w:shd w:val="clear" w:color="auto" w:fill="auto"/>
            <w:noWrap/>
            <w:vAlign w:val="center"/>
          </w:tcPr>
          <w:p w14:paraId="68D60786">
            <w:pPr>
              <w:adjustRightInd w:val="0"/>
              <w:snapToGrid w:val="0"/>
              <w:rPr>
                <w:rFonts w:hAnsi="宋体" w:cs="宋体"/>
                <w:kern w:val="0"/>
                <w:sz w:val="21"/>
                <w:szCs w:val="21"/>
              </w:rPr>
            </w:pPr>
            <w:r>
              <w:rPr>
                <w:rFonts w:hint="eastAsia" w:hAnsi="宋体" w:cs="宋体"/>
                <w:kern w:val="0"/>
                <w:sz w:val="21"/>
                <w:szCs w:val="21"/>
              </w:rPr>
              <w:t>具有以下情形之一：</w:t>
            </w:r>
          </w:p>
          <w:p w14:paraId="66C8959D">
            <w:pPr>
              <w:adjustRightInd w:val="0"/>
              <w:snapToGrid w:val="0"/>
              <w:rPr>
                <w:rFonts w:hAnsi="宋体" w:cs="宋体"/>
                <w:kern w:val="0"/>
                <w:sz w:val="21"/>
                <w:szCs w:val="21"/>
              </w:rPr>
            </w:pPr>
            <w:r>
              <w:rPr>
                <w:rFonts w:hint="eastAsia" w:hAnsi="宋体" w:cs="宋体"/>
                <w:kern w:val="0"/>
                <w:sz w:val="21"/>
                <w:szCs w:val="21"/>
              </w:rPr>
              <w:t>1.经制止仍继续建设或者拒不改正的；</w:t>
            </w:r>
          </w:p>
          <w:p w14:paraId="3DC05EDC">
            <w:pPr>
              <w:adjustRightInd w:val="0"/>
              <w:snapToGrid w:val="0"/>
              <w:rPr>
                <w:rFonts w:hAnsi="宋体" w:cs="宋体"/>
                <w:kern w:val="0"/>
                <w:sz w:val="21"/>
                <w:szCs w:val="21"/>
              </w:rPr>
            </w:pPr>
            <w:r>
              <w:rPr>
                <w:rFonts w:hint="eastAsia" w:hAnsi="宋体" w:cs="宋体"/>
                <w:kern w:val="0"/>
                <w:sz w:val="21"/>
                <w:szCs w:val="21"/>
              </w:rPr>
              <w:t>2.占地面积50平方米以上的；</w:t>
            </w:r>
          </w:p>
          <w:p w14:paraId="7DC40F06">
            <w:pPr>
              <w:adjustRightInd w:val="0"/>
              <w:snapToGrid w:val="0"/>
              <w:rPr>
                <w:rFonts w:hAnsi="宋体" w:cs="宋体"/>
                <w:kern w:val="0"/>
                <w:sz w:val="21"/>
                <w:szCs w:val="21"/>
              </w:rPr>
            </w:pPr>
            <w:r>
              <w:rPr>
                <w:rFonts w:hint="eastAsia" w:hAnsi="宋体" w:cs="宋体"/>
                <w:kern w:val="0"/>
                <w:sz w:val="21"/>
                <w:szCs w:val="21"/>
              </w:rPr>
              <w:t>3.造成严重不良社会影响或具有其他情节较重情形的。</w:t>
            </w:r>
          </w:p>
        </w:tc>
        <w:tc>
          <w:tcPr>
            <w:tcW w:w="612" w:type="pct"/>
            <w:shd w:val="clear" w:color="auto" w:fill="auto"/>
            <w:noWrap/>
            <w:vAlign w:val="center"/>
          </w:tcPr>
          <w:p w14:paraId="0782F696">
            <w:pPr>
              <w:adjustRightInd w:val="0"/>
              <w:snapToGrid w:val="0"/>
              <w:rPr>
                <w:rFonts w:hAnsi="宋体" w:cs="宋体"/>
                <w:color w:val="000000"/>
                <w:kern w:val="0"/>
                <w:sz w:val="21"/>
                <w:szCs w:val="21"/>
              </w:rPr>
            </w:pPr>
            <w:r>
              <w:rPr>
                <w:rFonts w:hint="eastAsia" w:hAnsi="宋体" w:cs="宋体"/>
                <w:color w:val="000000"/>
                <w:kern w:val="0"/>
                <w:sz w:val="21"/>
                <w:szCs w:val="21"/>
              </w:rPr>
              <w:t>处4万元以上5万元以下的罚款。</w:t>
            </w:r>
          </w:p>
        </w:tc>
      </w:tr>
      <w:tr w14:paraId="4034C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079" w:hRule="atLeast"/>
          <w:jc w:val="center"/>
        </w:trPr>
        <w:tc>
          <w:tcPr>
            <w:tcW w:w="201" w:type="pct"/>
            <w:gridSpan w:val="2"/>
            <w:shd w:val="clear" w:color="auto" w:fill="auto"/>
            <w:vAlign w:val="center"/>
          </w:tcPr>
          <w:p w14:paraId="11ECD900">
            <w:pPr>
              <w:adjustRightInd w:val="0"/>
              <w:snapToGrid w:val="0"/>
              <w:jc w:val="center"/>
              <w:rPr>
                <w:rFonts w:hAnsi="宋体" w:cs="宋体"/>
                <w:color w:val="000000"/>
                <w:kern w:val="0"/>
                <w:sz w:val="21"/>
                <w:szCs w:val="21"/>
              </w:rPr>
            </w:pPr>
            <w:r>
              <w:rPr>
                <w:rFonts w:hint="eastAsia" w:hAnsi="宋体" w:cs="宋体"/>
                <w:color w:val="000000"/>
                <w:kern w:val="0"/>
                <w:sz w:val="21"/>
                <w:szCs w:val="21"/>
              </w:rPr>
              <w:t>106</w:t>
            </w:r>
          </w:p>
        </w:tc>
        <w:tc>
          <w:tcPr>
            <w:tcW w:w="1050" w:type="pct"/>
            <w:shd w:val="clear" w:color="auto" w:fill="auto"/>
            <w:vAlign w:val="center"/>
          </w:tcPr>
          <w:p w14:paraId="64D5CE47">
            <w:pPr>
              <w:adjustRightInd w:val="0"/>
              <w:snapToGrid w:val="0"/>
              <w:rPr>
                <w:rFonts w:hAnsi="宋体" w:cs="宋体"/>
                <w:color w:val="000000"/>
                <w:kern w:val="0"/>
                <w:sz w:val="21"/>
                <w:szCs w:val="21"/>
              </w:rPr>
            </w:pPr>
            <w:r>
              <w:rPr>
                <w:rFonts w:hint="eastAsia" w:hAnsi="宋体" w:cs="宋体"/>
                <w:color w:val="000000"/>
                <w:kern w:val="0"/>
                <w:sz w:val="21"/>
                <w:szCs w:val="21"/>
              </w:rPr>
              <w:t>制造、销售、使用不符合强制性标准的殡葬设备。</w:t>
            </w:r>
          </w:p>
        </w:tc>
        <w:tc>
          <w:tcPr>
            <w:tcW w:w="939" w:type="pct"/>
            <w:shd w:val="clear" w:color="auto" w:fill="auto"/>
            <w:vAlign w:val="center"/>
          </w:tcPr>
          <w:p w14:paraId="1760A245">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089F7E4C">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第十九条：殡葬设施所需的遗体接运车、遗体冷藏柜、火化机、火化污染物净化设备等殡葬设备，应当符合相关强制性标准。禁止制造、销售、使用不符合强制性标准的殡葬设备。</w:t>
            </w:r>
          </w:p>
        </w:tc>
        <w:tc>
          <w:tcPr>
            <w:tcW w:w="929" w:type="pct"/>
            <w:shd w:val="clear" w:color="auto" w:fill="auto"/>
            <w:vAlign w:val="center"/>
          </w:tcPr>
          <w:p w14:paraId="13E2D1E5">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13AF0921">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六十三条：有下列情形之一的，由县级以上地方人民政府民政部门会同市场监管部门责令改正，没收违法所得；没有违法所得或者违法所得不足10万元的，处3万元以上20万元以下的罚款；违法所得10万元以上的，处违法所得2倍以上5倍以下的罚款：</w:t>
            </w:r>
          </w:p>
          <w:p w14:paraId="2A50D8B7">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（一）制造、销售、使用不符合强制性标准的殡葬设备。</w:t>
            </w:r>
          </w:p>
        </w:tc>
        <w:tc>
          <w:tcPr>
            <w:tcW w:w="237" w:type="pct"/>
            <w:shd w:val="clear" w:color="auto" w:fill="auto"/>
            <w:noWrap/>
            <w:vAlign w:val="center"/>
          </w:tcPr>
          <w:p w14:paraId="0737795A">
            <w:pPr>
              <w:adjustRightInd w:val="0"/>
              <w:snapToGrid w:val="0"/>
              <w:jc w:val="center"/>
              <w:rPr>
                <w:rFonts w:hAnsi="宋体" w:cs="宋体"/>
                <w:color w:val="000000"/>
                <w:kern w:val="0"/>
                <w:sz w:val="21"/>
                <w:szCs w:val="21"/>
              </w:rPr>
            </w:pPr>
            <w:r>
              <w:rPr>
                <w:rFonts w:hint="eastAsia" w:hAnsi="宋体" w:cs="宋体"/>
                <w:color w:val="000000"/>
                <w:kern w:val="0"/>
                <w:sz w:val="21"/>
                <w:szCs w:val="21"/>
              </w:rPr>
              <w:t>从轻处罚</w:t>
            </w:r>
          </w:p>
        </w:tc>
        <w:tc>
          <w:tcPr>
            <w:tcW w:w="1028" w:type="pct"/>
            <w:shd w:val="clear" w:color="auto" w:fill="auto"/>
            <w:noWrap/>
            <w:vAlign w:val="center"/>
          </w:tcPr>
          <w:p w14:paraId="20756008">
            <w:pPr>
              <w:adjustRightInd w:val="0"/>
              <w:snapToGrid w:val="0"/>
              <w:rPr>
                <w:rFonts w:hAnsi="宋体" w:cs="宋体"/>
                <w:color w:val="000000"/>
                <w:kern w:val="0"/>
                <w:sz w:val="21"/>
                <w:szCs w:val="21"/>
              </w:rPr>
            </w:pPr>
            <w:r>
              <w:rPr>
                <w:rFonts w:hint="eastAsia" w:hAnsi="宋体" w:cs="宋体"/>
                <w:color w:val="000000"/>
                <w:kern w:val="0"/>
                <w:sz w:val="21"/>
                <w:szCs w:val="21"/>
              </w:rPr>
              <w:t>没有违法所得或者违法所得不足10万元的。</w:t>
            </w:r>
          </w:p>
        </w:tc>
        <w:tc>
          <w:tcPr>
            <w:tcW w:w="612" w:type="pct"/>
            <w:shd w:val="clear" w:color="auto" w:fill="auto"/>
            <w:noWrap/>
            <w:vAlign w:val="center"/>
          </w:tcPr>
          <w:p w14:paraId="263449FD">
            <w:pPr>
              <w:adjustRightInd w:val="0"/>
              <w:snapToGrid w:val="0"/>
              <w:rPr>
                <w:rFonts w:hAnsi="宋体" w:cs="宋体"/>
                <w:color w:val="000000"/>
                <w:kern w:val="0"/>
                <w:sz w:val="21"/>
                <w:szCs w:val="21"/>
              </w:rPr>
            </w:pPr>
            <w:r>
              <w:rPr>
                <w:rFonts w:hint="eastAsia" w:hAnsi="宋体" w:cs="宋体"/>
                <w:color w:val="000000"/>
                <w:kern w:val="0"/>
                <w:sz w:val="21"/>
                <w:szCs w:val="21"/>
              </w:rPr>
              <w:t>1.情节较轻，造成较小不良社会影响的，处3万元以上不超过10万元的罚款，有违法所得的一并没收违法所得；</w:t>
            </w:r>
          </w:p>
          <w:p w14:paraId="064CA92F">
            <w:pPr>
              <w:adjustRightInd w:val="0"/>
              <w:snapToGrid w:val="0"/>
              <w:rPr>
                <w:rFonts w:hAnsi="宋体" w:cs="宋体"/>
                <w:color w:val="000000"/>
                <w:kern w:val="0"/>
                <w:sz w:val="21"/>
                <w:szCs w:val="21"/>
              </w:rPr>
            </w:pPr>
            <w:r>
              <w:rPr>
                <w:rFonts w:hint="eastAsia" w:hAnsi="宋体" w:cs="宋体"/>
                <w:color w:val="000000"/>
                <w:kern w:val="0"/>
                <w:sz w:val="21"/>
                <w:szCs w:val="21"/>
              </w:rPr>
              <w:t>2.情节较重，造成较大不良社会影响的，处10万元以上不超过15万元的罚款，有违法所得的一并没收违法所得；</w:t>
            </w:r>
          </w:p>
          <w:p w14:paraId="40EB6CFD">
            <w:pPr>
              <w:adjustRightInd w:val="0"/>
              <w:snapToGrid w:val="0"/>
              <w:rPr>
                <w:rFonts w:hAnsi="宋体" w:cs="宋体"/>
                <w:color w:val="000000"/>
                <w:kern w:val="0"/>
                <w:sz w:val="21"/>
                <w:szCs w:val="21"/>
              </w:rPr>
            </w:pPr>
            <w:r>
              <w:rPr>
                <w:rFonts w:hint="eastAsia" w:hAnsi="宋体" w:cs="宋体"/>
                <w:color w:val="000000"/>
                <w:kern w:val="0"/>
                <w:sz w:val="21"/>
                <w:szCs w:val="21"/>
              </w:rPr>
              <w:t>3.情节严重，造成严重不良社会影响的，处15万元以上20万元以下的罚款，有违法所得的一并没收违法所得。</w:t>
            </w:r>
          </w:p>
        </w:tc>
      </w:tr>
      <w:tr w14:paraId="3D557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9" w:hRule="atLeast"/>
          <w:jc w:val="center"/>
        </w:trPr>
        <w:tc>
          <w:tcPr>
            <w:tcW w:w="201" w:type="pct"/>
            <w:gridSpan w:val="2"/>
            <w:vMerge w:val="restart"/>
            <w:shd w:val="clear" w:color="auto" w:fill="auto"/>
            <w:vAlign w:val="center"/>
          </w:tcPr>
          <w:p w14:paraId="16BFD5F4">
            <w:pPr>
              <w:adjustRightInd w:val="0"/>
              <w:snapToGrid w:val="0"/>
              <w:jc w:val="center"/>
              <w:rPr>
                <w:rFonts w:hAnsi="宋体" w:cs="宋体"/>
                <w:color w:val="000000"/>
                <w:kern w:val="0"/>
                <w:sz w:val="21"/>
                <w:szCs w:val="21"/>
              </w:rPr>
            </w:pPr>
            <w:r>
              <w:rPr>
                <w:rFonts w:hint="eastAsia" w:hAnsi="宋体" w:cs="宋体"/>
                <w:color w:val="000000"/>
                <w:kern w:val="0"/>
                <w:sz w:val="21"/>
                <w:szCs w:val="21"/>
              </w:rPr>
              <w:t>106</w:t>
            </w:r>
          </w:p>
        </w:tc>
        <w:tc>
          <w:tcPr>
            <w:tcW w:w="1050" w:type="pct"/>
            <w:vMerge w:val="restart"/>
            <w:shd w:val="clear" w:color="auto" w:fill="auto"/>
            <w:vAlign w:val="center"/>
          </w:tcPr>
          <w:p w14:paraId="64E51CAA">
            <w:pPr>
              <w:adjustRightInd w:val="0"/>
              <w:snapToGrid w:val="0"/>
              <w:rPr>
                <w:rFonts w:hAnsi="宋体" w:cs="宋体"/>
                <w:color w:val="000000"/>
                <w:kern w:val="0"/>
                <w:sz w:val="21"/>
                <w:szCs w:val="21"/>
              </w:rPr>
            </w:pPr>
            <w:r>
              <w:rPr>
                <w:rFonts w:hint="eastAsia" w:hAnsi="宋体" w:cs="宋体"/>
                <w:color w:val="000000"/>
                <w:kern w:val="0"/>
                <w:sz w:val="21"/>
                <w:szCs w:val="21"/>
              </w:rPr>
              <w:t>制造、销售、使用不符合强制性标准的殡葬设备。</w:t>
            </w:r>
          </w:p>
        </w:tc>
        <w:tc>
          <w:tcPr>
            <w:tcW w:w="939" w:type="pct"/>
            <w:vMerge w:val="restart"/>
            <w:shd w:val="clear" w:color="auto" w:fill="auto"/>
            <w:vAlign w:val="center"/>
          </w:tcPr>
          <w:p w14:paraId="2D842B46">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2F15FC1E">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第十九条：殡葬设施所需的遗体接运车、遗体冷藏柜、火化机、火化污染物净化设备等殡葬设备，应当符合相关强制性标准。禁止制造、销售、使用不符合强制性标准的殡葬设备。</w:t>
            </w:r>
          </w:p>
        </w:tc>
        <w:tc>
          <w:tcPr>
            <w:tcW w:w="929" w:type="pct"/>
            <w:vMerge w:val="restart"/>
            <w:shd w:val="clear" w:color="auto" w:fill="auto"/>
            <w:vAlign w:val="center"/>
          </w:tcPr>
          <w:p w14:paraId="0E68633A">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4A9E300A">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六十三条：有下列情形之一的，由县级以上地方人民政府民政部门会同市场监管部门责令改正，没收违法所得；没有违法所得或者违法所得不足10万元的，处3万元以上20万元以下的罚款；违法所得10万元以上的，处违法所得2倍以上5倍以下的罚款：</w:t>
            </w:r>
          </w:p>
          <w:p w14:paraId="6FABF005">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（一）制造、销售、使用不符合强制性标准的殡葬设备。</w:t>
            </w:r>
          </w:p>
        </w:tc>
        <w:tc>
          <w:tcPr>
            <w:tcW w:w="237" w:type="pct"/>
            <w:shd w:val="clear" w:color="auto" w:fill="auto"/>
            <w:noWrap/>
            <w:vAlign w:val="center"/>
          </w:tcPr>
          <w:p w14:paraId="3F19B2BA">
            <w:pPr>
              <w:adjustRightInd w:val="0"/>
              <w:snapToGrid w:val="0"/>
              <w:jc w:val="center"/>
              <w:rPr>
                <w:rFonts w:hAnsi="宋体" w:cs="宋体"/>
                <w:color w:val="000000"/>
                <w:kern w:val="0"/>
                <w:sz w:val="21"/>
                <w:szCs w:val="21"/>
              </w:rPr>
            </w:pPr>
            <w:r>
              <w:rPr>
                <w:rFonts w:hint="eastAsia" w:hAnsi="宋体" w:cs="宋体"/>
                <w:color w:val="000000"/>
                <w:kern w:val="0"/>
                <w:sz w:val="21"/>
                <w:szCs w:val="21"/>
              </w:rPr>
              <w:t>一般处罚</w:t>
            </w:r>
          </w:p>
        </w:tc>
        <w:tc>
          <w:tcPr>
            <w:tcW w:w="1028" w:type="pct"/>
            <w:shd w:val="clear" w:color="auto" w:fill="auto"/>
            <w:noWrap/>
            <w:vAlign w:val="center"/>
          </w:tcPr>
          <w:p w14:paraId="0DCFDA69">
            <w:pPr>
              <w:adjustRightInd w:val="0"/>
              <w:snapToGrid w:val="0"/>
              <w:rPr>
                <w:rFonts w:hAnsi="宋体" w:cs="宋体"/>
                <w:color w:val="000000"/>
                <w:kern w:val="0"/>
                <w:sz w:val="21"/>
                <w:szCs w:val="21"/>
              </w:rPr>
            </w:pPr>
            <w:r>
              <w:rPr>
                <w:rFonts w:hint="eastAsia" w:hAnsi="宋体" w:cs="宋体"/>
                <w:color w:val="000000"/>
                <w:kern w:val="0"/>
                <w:sz w:val="21"/>
                <w:szCs w:val="21"/>
              </w:rPr>
              <w:t>违法所得10万元以上不足</w:t>
            </w:r>
            <w:r>
              <w:rPr>
                <w:rFonts w:hAnsi="宋体" w:cs="宋体"/>
                <w:color w:val="000000"/>
                <w:kern w:val="0"/>
                <w:sz w:val="21"/>
                <w:szCs w:val="21"/>
                <w:lang w:val="en"/>
              </w:rPr>
              <w:t>30</w:t>
            </w:r>
            <w:r>
              <w:rPr>
                <w:rFonts w:hint="eastAsia" w:hAnsi="宋体" w:cs="宋体"/>
                <w:color w:val="000000"/>
                <w:kern w:val="0"/>
                <w:sz w:val="21"/>
                <w:szCs w:val="21"/>
              </w:rPr>
              <w:t>万元的。</w:t>
            </w:r>
          </w:p>
        </w:tc>
        <w:tc>
          <w:tcPr>
            <w:tcW w:w="612" w:type="pct"/>
            <w:shd w:val="clear" w:color="auto" w:fill="auto"/>
            <w:noWrap/>
            <w:vAlign w:val="center"/>
          </w:tcPr>
          <w:p w14:paraId="3C495D02">
            <w:pPr>
              <w:adjustRightInd w:val="0"/>
              <w:snapToGrid w:val="0"/>
              <w:rPr>
                <w:rFonts w:hAnsi="宋体" w:cs="宋体"/>
                <w:color w:val="000000"/>
                <w:kern w:val="0"/>
                <w:sz w:val="21"/>
                <w:szCs w:val="21"/>
              </w:rPr>
            </w:pPr>
          </w:p>
          <w:p w14:paraId="5423C65F">
            <w:pPr>
              <w:adjustRightInd w:val="0"/>
              <w:snapToGrid w:val="0"/>
              <w:rPr>
                <w:rFonts w:hAnsi="宋体" w:cs="宋体"/>
                <w:color w:val="000000"/>
                <w:kern w:val="0"/>
                <w:sz w:val="21"/>
                <w:szCs w:val="21"/>
              </w:rPr>
            </w:pPr>
            <w:r>
              <w:rPr>
                <w:rFonts w:hint="eastAsia" w:hAnsi="宋体" w:cs="宋体"/>
                <w:color w:val="000000"/>
                <w:kern w:val="0"/>
                <w:sz w:val="21"/>
                <w:szCs w:val="21"/>
              </w:rPr>
              <w:t>没收违法所得，处违法所得2倍以上不超过4倍的罚款。</w:t>
            </w:r>
          </w:p>
          <w:p w14:paraId="68EBAE86">
            <w:pPr>
              <w:adjustRightInd w:val="0"/>
              <w:snapToGrid w:val="0"/>
              <w:rPr>
                <w:rFonts w:hAnsi="宋体" w:cs="宋体"/>
                <w:color w:val="000000"/>
                <w:kern w:val="0"/>
                <w:sz w:val="21"/>
                <w:szCs w:val="21"/>
              </w:rPr>
            </w:pPr>
          </w:p>
        </w:tc>
      </w:tr>
      <w:tr w14:paraId="2CCD8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9" w:hRule="atLeast"/>
          <w:jc w:val="center"/>
        </w:trPr>
        <w:tc>
          <w:tcPr>
            <w:tcW w:w="201" w:type="pct"/>
            <w:gridSpan w:val="2"/>
            <w:vMerge w:val="continue"/>
            <w:shd w:val="clear" w:color="auto" w:fill="auto"/>
            <w:vAlign w:val="center"/>
          </w:tcPr>
          <w:p w14:paraId="7C0792FA">
            <w:pPr>
              <w:adjustRightInd w:val="0"/>
              <w:snapToGrid w:val="0"/>
            </w:pPr>
          </w:p>
        </w:tc>
        <w:tc>
          <w:tcPr>
            <w:tcW w:w="1050" w:type="pct"/>
            <w:vMerge w:val="continue"/>
            <w:shd w:val="clear" w:color="auto" w:fill="auto"/>
            <w:vAlign w:val="center"/>
          </w:tcPr>
          <w:p w14:paraId="1DF9C516">
            <w:pPr>
              <w:adjustRightInd w:val="0"/>
              <w:snapToGrid w:val="0"/>
            </w:pPr>
          </w:p>
        </w:tc>
        <w:tc>
          <w:tcPr>
            <w:tcW w:w="939" w:type="pct"/>
            <w:vMerge w:val="continue"/>
            <w:shd w:val="clear" w:color="auto" w:fill="auto"/>
            <w:vAlign w:val="center"/>
          </w:tcPr>
          <w:p w14:paraId="4D3D6999">
            <w:pPr>
              <w:adjustRightInd w:val="0"/>
              <w:snapToGrid w:val="0"/>
            </w:pPr>
          </w:p>
        </w:tc>
        <w:tc>
          <w:tcPr>
            <w:tcW w:w="929" w:type="pct"/>
            <w:vMerge w:val="continue"/>
            <w:shd w:val="clear" w:color="auto" w:fill="auto"/>
            <w:vAlign w:val="center"/>
          </w:tcPr>
          <w:p w14:paraId="0CBBCEED">
            <w:pPr>
              <w:adjustRightInd w:val="0"/>
              <w:snapToGrid w:val="0"/>
            </w:pPr>
          </w:p>
        </w:tc>
        <w:tc>
          <w:tcPr>
            <w:tcW w:w="237" w:type="pct"/>
            <w:shd w:val="clear" w:color="auto" w:fill="auto"/>
            <w:noWrap/>
            <w:vAlign w:val="center"/>
          </w:tcPr>
          <w:p w14:paraId="120AA99F">
            <w:pPr>
              <w:adjustRightInd w:val="0"/>
              <w:snapToGrid w:val="0"/>
              <w:jc w:val="center"/>
              <w:rPr>
                <w:rFonts w:hAnsi="宋体" w:cs="宋体"/>
                <w:color w:val="000000"/>
                <w:kern w:val="0"/>
                <w:sz w:val="21"/>
                <w:szCs w:val="21"/>
              </w:rPr>
            </w:pPr>
            <w:r>
              <w:rPr>
                <w:rFonts w:hint="eastAsia" w:hAnsi="宋体" w:cs="宋体"/>
                <w:color w:val="000000"/>
                <w:kern w:val="0"/>
                <w:sz w:val="21"/>
                <w:szCs w:val="21"/>
              </w:rPr>
              <w:t>从重处罚</w:t>
            </w:r>
          </w:p>
        </w:tc>
        <w:tc>
          <w:tcPr>
            <w:tcW w:w="1028" w:type="pct"/>
            <w:shd w:val="clear" w:color="auto" w:fill="auto"/>
            <w:noWrap/>
            <w:vAlign w:val="center"/>
          </w:tcPr>
          <w:p w14:paraId="32619B04">
            <w:pPr>
              <w:adjustRightInd w:val="0"/>
              <w:snapToGrid w:val="0"/>
              <w:rPr>
                <w:rFonts w:hAnsi="宋体" w:cs="宋体"/>
                <w:color w:val="000000"/>
                <w:kern w:val="0"/>
                <w:sz w:val="21"/>
                <w:szCs w:val="21"/>
              </w:rPr>
            </w:pPr>
            <w:r>
              <w:rPr>
                <w:rFonts w:hint="eastAsia" w:hAnsi="宋体" w:cs="宋体"/>
                <w:color w:val="000000"/>
                <w:kern w:val="0"/>
                <w:sz w:val="21"/>
                <w:szCs w:val="21"/>
              </w:rPr>
              <w:t>违法所得</w:t>
            </w:r>
            <w:r>
              <w:rPr>
                <w:rFonts w:hAnsi="宋体" w:cs="宋体"/>
                <w:color w:val="000000"/>
                <w:kern w:val="0"/>
                <w:sz w:val="21"/>
                <w:szCs w:val="21"/>
                <w:lang w:val="en"/>
              </w:rPr>
              <w:t>3</w:t>
            </w:r>
            <w:r>
              <w:rPr>
                <w:rFonts w:hint="eastAsia" w:hAnsi="宋体" w:cs="宋体"/>
                <w:color w:val="000000"/>
                <w:kern w:val="0"/>
                <w:sz w:val="21"/>
                <w:szCs w:val="21"/>
              </w:rPr>
              <w:t>0万元以上的。</w:t>
            </w:r>
          </w:p>
        </w:tc>
        <w:tc>
          <w:tcPr>
            <w:tcW w:w="612" w:type="pct"/>
            <w:shd w:val="clear" w:color="auto" w:fill="auto"/>
            <w:noWrap/>
            <w:vAlign w:val="center"/>
          </w:tcPr>
          <w:p w14:paraId="2808FFB5">
            <w:pPr>
              <w:adjustRightInd w:val="0"/>
              <w:snapToGrid w:val="0"/>
              <w:rPr>
                <w:rFonts w:hAnsi="宋体" w:cs="宋体"/>
                <w:color w:val="000000"/>
                <w:kern w:val="0"/>
                <w:sz w:val="21"/>
                <w:szCs w:val="21"/>
              </w:rPr>
            </w:pPr>
            <w:r>
              <w:rPr>
                <w:rFonts w:hint="eastAsia" w:hAnsi="宋体" w:cs="宋体"/>
                <w:color w:val="000000"/>
                <w:kern w:val="0"/>
                <w:sz w:val="21"/>
                <w:szCs w:val="21"/>
              </w:rPr>
              <w:t>没收违法所得，处违法所得4倍以上5倍以下的罚款。</w:t>
            </w:r>
          </w:p>
        </w:tc>
      </w:tr>
      <w:tr w14:paraId="3D519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953" w:hRule="atLeast"/>
          <w:jc w:val="center"/>
        </w:trPr>
        <w:tc>
          <w:tcPr>
            <w:tcW w:w="201" w:type="pct"/>
            <w:gridSpan w:val="2"/>
            <w:shd w:val="clear" w:color="auto" w:fill="auto"/>
            <w:vAlign w:val="center"/>
          </w:tcPr>
          <w:p w14:paraId="46DA24AC">
            <w:pPr>
              <w:adjustRightInd w:val="0"/>
              <w:snapToGrid w:val="0"/>
              <w:jc w:val="center"/>
              <w:rPr>
                <w:rFonts w:hAnsi="宋体" w:cs="宋体"/>
                <w:color w:val="000000"/>
                <w:kern w:val="0"/>
                <w:sz w:val="21"/>
                <w:szCs w:val="21"/>
              </w:rPr>
            </w:pPr>
            <w:r>
              <w:rPr>
                <w:rFonts w:hint="eastAsia" w:hAnsi="宋体" w:cs="宋体"/>
                <w:color w:val="000000"/>
                <w:kern w:val="0"/>
                <w:sz w:val="21"/>
                <w:szCs w:val="21"/>
              </w:rPr>
              <w:t>107</w:t>
            </w:r>
          </w:p>
        </w:tc>
        <w:tc>
          <w:tcPr>
            <w:tcW w:w="1050" w:type="pct"/>
            <w:shd w:val="clear" w:color="auto" w:fill="auto"/>
            <w:vAlign w:val="center"/>
          </w:tcPr>
          <w:p w14:paraId="3F6114C3">
            <w:pPr>
              <w:adjustRightInd w:val="0"/>
              <w:snapToGrid w:val="0"/>
              <w:rPr>
                <w:rFonts w:hAnsi="宋体" w:cs="宋体"/>
                <w:color w:val="000000"/>
                <w:kern w:val="0"/>
                <w:sz w:val="21"/>
                <w:szCs w:val="21"/>
              </w:rPr>
            </w:pPr>
            <w:r>
              <w:rPr>
                <w:rFonts w:hint="eastAsia" w:hAnsi="宋体" w:cs="宋体"/>
                <w:color w:val="000000"/>
                <w:kern w:val="0"/>
                <w:sz w:val="21"/>
                <w:szCs w:val="21"/>
              </w:rPr>
              <w:t>制造、销售违反法律法规或者违背公序良俗的丧葬用品。</w:t>
            </w:r>
          </w:p>
        </w:tc>
        <w:tc>
          <w:tcPr>
            <w:tcW w:w="939" w:type="pct"/>
            <w:shd w:val="clear" w:color="auto" w:fill="auto"/>
            <w:vAlign w:val="center"/>
          </w:tcPr>
          <w:p w14:paraId="1411CF5A">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019F3280">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第四十四条第一款：禁止制造、销售违反法律法规或者违背公序良俗的丧葬用品。</w:t>
            </w:r>
          </w:p>
        </w:tc>
        <w:tc>
          <w:tcPr>
            <w:tcW w:w="929" w:type="pct"/>
            <w:shd w:val="clear" w:color="auto" w:fill="auto"/>
            <w:vAlign w:val="center"/>
          </w:tcPr>
          <w:p w14:paraId="162311A1">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14D40210">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六十三条：有下列情形之一的，由县级以上地方人民政府民政部门会同市场监管部门责令改正，没收违法所得；没有违法所得或者违法所得不足10万元的，处3万元以上20万元以下的罚款；违法所得10万元以上的，处违法所得2倍以上5倍以下的罚款：</w:t>
            </w:r>
          </w:p>
          <w:p w14:paraId="37624339">
            <w:pPr>
              <w:adjustRightInd w:val="0"/>
              <w:snapToGrid w:val="0"/>
              <w:rPr>
                <w:rFonts w:hAnsi="宋体" w:cs="宋体"/>
                <w:color w:val="000000"/>
                <w:kern w:val="0"/>
                <w:sz w:val="21"/>
                <w:szCs w:val="21"/>
              </w:rPr>
            </w:pPr>
            <w:r>
              <w:rPr>
                <w:rFonts w:hint="eastAsia" w:hAnsi="宋体" w:cs="宋体"/>
                <w:color w:val="000000"/>
                <w:kern w:val="0"/>
                <w:sz w:val="21"/>
                <w:szCs w:val="21"/>
              </w:rPr>
              <w:t>……</w:t>
            </w:r>
          </w:p>
          <w:p w14:paraId="2E6DA278">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（二）制造、销售违反法律法规或者违背公序良俗的丧葬用品。</w:t>
            </w:r>
          </w:p>
        </w:tc>
        <w:tc>
          <w:tcPr>
            <w:tcW w:w="237" w:type="pct"/>
            <w:shd w:val="clear" w:color="auto" w:fill="auto"/>
            <w:noWrap/>
            <w:vAlign w:val="center"/>
          </w:tcPr>
          <w:p w14:paraId="2A4FB188">
            <w:pPr>
              <w:adjustRightInd w:val="0"/>
              <w:snapToGrid w:val="0"/>
              <w:jc w:val="center"/>
              <w:rPr>
                <w:rFonts w:hAnsi="宋体" w:cs="宋体"/>
                <w:color w:val="000000"/>
                <w:kern w:val="0"/>
                <w:sz w:val="21"/>
                <w:szCs w:val="21"/>
              </w:rPr>
            </w:pPr>
            <w:r>
              <w:rPr>
                <w:rFonts w:hint="eastAsia" w:hAnsi="宋体" w:cs="宋体"/>
                <w:color w:val="000000"/>
                <w:kern w:val="0"/>
                <w:sz w:val="21"/>
                <w:szCs w:val="21"/>
              </w:rPr>
              <w:t>从轻处罚</w:t>
            </w:r>
          </w:p>
        </w:tc>
        <w:tc>
          <w:tcPr>
            <w:tcW w:w="1028" w:type="pct"/>
            <w:shd w:val="clear" w:color="auto" w:fill="auto"/>
            <w:noWrap/>
            <w:vAlign w:val="center"/>
          </w:tcPr>
          <w:p w14:paraId="072D77B5">
            <w:pPr>
              <w:adjustRightInd w:val="0"/>
              <w:snapToGrid w:val="0"/>
              <w:rPr>
                <w:rFonts w:hAnsi="宋体" w:cs="宋体"/>
                <w:color w:val="000000"/>
                <w:kern w:val="0"/>
                <w:sz w:val="21"/>
                <w:szCs w:val="21"/>
              </w:rPr>
            </w:pPr>
            <w:r>
              <w:rPr>
                <w:rFonts w:hint="eastAsia" w:hAnsi="宋体" w:cs="宋体"/>
                <w:color w:val="000000"/>
                <w:kern w:val="0"/>
                <w:sz w:val="21"/>
                <w:szCs w:val="21"/>
              </w:rPr>
              <w:t>没有违法所得或者违法所得不足10万元的。</w:t>
            </w:r>
          </w:p>
        </w:tc>
        <w:tc>
          <w:tcPr>
            <w:tcW w:w="612" w:type="pct"/>
            <w:shd w:val="clear" w:color="auto" w:fill="auto"/>
            <w:noWrap/>
            <w:vAlign w:val="center"/>
          </w:tcPr>
          <w:p w14:paraId="6D48A1C6">
            <w:pPr>
              <w:adjustRightInd w:val="0"/>
              <w:snapToGrid w:val="0"/>
              <w:rPr>
                <w:rFonts w:hAnsi="宋体" w:cs="宋体"/>
                <w:color w:val="000000"/>
                <w:kern w:val="0"/>
                <w:sz w:val="21"/>
                <w:szCs w:val="21"/>
              </w:rPr>
            </w:pPr>
            <w:r>
              <w:rPr>
                <w:rFonts w:hint="eastAsia" w:hAnsi="宋体" w:cs="宋体"/>
                <w:color w:val="000000"/>
                <w:kern w:val="0"/>
                <w:sz w:val="21"/>
                <w:szCs w:val="21"/>
              </w:rPr>
              <w:t>1.情节较轻，造成较小不良社会影响的，处3万元以上不超过10万元的罚款，有违法所得的一并没收违法所得；</w:t>
            </w:r>
          </w:p>
          <w:p w14:paraId="72A67141">
            <w:pPr>
              <w:adjustRightInd w:val="0"/>
              <w:snapToGrid w:val="0"/>
              <w:rPr>
                <w:rFonts w:hAnsi="宋体" w:cs="宋体"/>
                <w:color w:val="000000"/>
                <w:kern w:val="0"/>
                <w:sz w:val="21"/>
                <w:szCs w:val="21"/>
              </w:rPr>
            </w:pPr>
            <w:r>
              <w:rPr>
                <w:rFonts w:hint="eastAsia" w:hAnsi="宋体" w:cs="宋体"/>
                <w:color w:val="000000"/>
                <w:kern w:val="0"/>
                <w:sz w:val="21"/>
                <w:szCs w:val="21"/>
              </w:rPr>
              <w:t>2.情节较重，造成较大不良社会影响的，处10万元以上不超过15万元的罚款，有违法所得的一并没收违法所得；</w:t>
            </w:r>
          </w:p>
          <w:p w14:paraId="6793874E">
            <w:pPr>
              <w:adjustRightInd w:val="0"/>
              <w:snapToGrid w:val="0"/>
              <w:rPr>
                <w:rFonts w:hAnsi="宋体" w:cs="宋体"/>
                <w:color w:val="000000"/>
                <w:kern w:val="0"/>
                <w:sz w:val="21"/>
                <w:szCs w:val="21"/>
              </w:rPr>
            </w:pPr>
            <w:r>
              <w:rPr>
                <w:rFonts w:hint="eastAsia" w:hAnsi="宋体" w:cs="宋体"/>
                <w:color w:val="000000"/>
                <w:kern w:val="0"/>
                <w:sz w:val="21"/>
                <w:szCs w:val="21"/>
              </w:rPr>
              <w:t>3.情节严重，造成严重不良社会影响的，处15万元以上20万元以下的罚款，有违法所得的一并没收违法所得。</w:t>
            </w:r>
          </w:p>
        </w:tc>
      </w:tr>
      <w:tr w14:paraId="22DFD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47" w:hRule="atLeast"/>
          <w:jc w:val="center"/>
        </w:trPr>
        <w:tc>
          <w:tcPr>
            <w:tcW w:w="201" w:type="pct"/>
            <w:gridSpan w:val="2"/>
            <w:vMerge w:val="restart"/>
            <w:shd w:val="clear" w:color="auto" w:fill="auto"/>
            <w:vAlign w:val="center"/>
          </w:tcPr>
          <w:p w14:paraId="2911418D">
            <w:pPr>
              <w:adjustRightInd w:val="0"/>
              <w:snapToGrid w:val="0"/>
              <w:jc w:val="center"/>
              <w:rPr>
                <w:rFonts w:hAnsi="宋体" w:cs="宋体"/>
                <w:color w:val="000000"/>
                <w:kern w:val="0"/>
                <w:sz w:val="21"/>
                <w:szCs w:val="21"/>
              </w:rPr>
            </w:pPr>
            <w:r>
              <w:rPr>
                <w:rFonts w:hint="eastAsia" w:hAnsi="宋体" w:cs="宋体"/>
                <w:color w:val="000000"/>
                <w:kern w:val="0"/>
                <w:sz w:val="21"/>
                <w:szCs w:val="21"/>
              </w:rPr>
              <w:t>107</w:t>
            </w:r>
          </w:p>
        </w:tc>
        <w:tc>
          <w:tcPr>
            <w:tcW w:w="1050" w:type="pct"/>
            <w:vMerge w:val="restart"/>
            <w:shd w:val="clear" w:color="auto" w:fill="auto"/>
            <w:vAlign w:val="center"/>
          </w:tcPr>
          <w:p w14:paraId="63685BB1">
            <w:pPr>
              <w:adjustRightInd w:val="0"/>
              <w:snapToGrid w:val="0"/>
              <w:rPr>
                <w:rFonts w:hAnsi="宋体" w:cs="宋体"/>
                <w:color w:val="000000"/>
                <w:kern w:val="0"/>
                <w:sz w:val="21"/>
                <w:szCs w:val="21"/>
              </w:rPr>
            </w:pPr>
            <w:r>
              <w:rPr>
                <w:rFonts w:hint="eastAsia" w:hAnsi="宋体" w:cs="宋体"/>
                <w:color w:val="000000"/>
                <w:kern w:val="0"/>
                <w:sz w:val="21"/>
                <w:szCs w:val="21"/>
              </w:rPr>
              <w:t>制造、销售违反法律法规或者违背公序良俗的丧葬用品。</w:t>
            </w:r>
          </w:p>
        </w:tc>
        <w:tc>
          <w:tcPr>
            <w:tcW w:w="939" w:type="pct"/>
            <w:vMerge w:val="restart"/>
            <w:shd w:val="clear" w:color="auto" w:fill="auto"/>
            <w:vAlign w:val="center"/>
          </w:tcPr>
          <w:p w14:paraId="39046A6D">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7DF377AD">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第四十四条第一款：禁止制造、销售违反法律法规或者违背公序良俗的丧葬用品。</w:t>
            </w:r>
          </w:p>
        </w:tc>
        <w:tc>
          <w:tcPr>
            <w:tcW w:w="929" w:type="pct"/>
            <w:vMerge w:val="restart"/>
            <w:shd w:val="clear" w:color="auto" w:fill="auto"/>
            <w:vAlign w:val="center"/>
          </w:tcPr>
          <w:p w14:paraId="6E1B1376">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1D90CA3C">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六十三条：有下列情形之一的，由县级以上地方人民政府民政部门会同市场监管部门责令改正，没收违法所得；没有违法所得或者违法所得不足10万元的，处3万元以上20万元以下的罚款；违法所得10万元以上的，处违法所得2倍以上5倍以下的罚款：</w:t>
            </w:r>
          </w:p>
          <w:p w14:paraId="4B37A1D7">
            <w:pPr>
              <w:adjustRightInd w:val="0"/>
              <w:snapToGrid w:val="0"/>
              <w:rPr>
                <w:rFonts w:hAnsi="宋体" w:cs="宋体"/>
                <w:color w:val="000000"/>
                <w:kern w:val="0"/>
                <w:sz w:val="21"/>
                <w:szCs w:val="21"/>
              </w:rPr>
            </w:pPr>
            <w:r>
              <w:rPr>
                <w:rFonts w:hint="eastAsia" w:hAnsi="宋体" w:cs="宋体"/>
                <w:color w:val="000000"/>
                <w:kern w:val="0"/>
                <w:sz w:val="21"/>
                <w:szCs w:val="21"/>
              </w:rPr>
              <w:t>……</w:t>
            </w:r>
          </w:p>
          <w:p w14:paraId="573F6E2C">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（二）制造、销售违反法律法规或者违背公序良俗的丧葬用品。</w:t>
            </w:r>
          </w:p>
        </w:tc>
        <w:tc>
          <w:tcPr>
            <w:tcW w:w="237" w:type="pct"/>
            <w:shd w:val="clear" w:color="auto" w:fill="auto"/>
            <w:noWrap/>
            <w:vAlign w:val="center"/>
          </w:tcPr>
          <w:p w14:paraId="6168170A">
            <w:pPr>
              <w:adjustRightInd w:val="0"/>
              <w:snapToGrid w:val="0"/>
              <w:jc w:val="center"/>
              <w:rPr>
                <w:rFonts w:hAnsi="宋体" w:cs="宋体"/>
                <w:color w:val="000000"/>
                <w:kern w:val="0"/>
                <w:sz w:val="21"/>
                <w:szCs w:val="21"/>
              </w:rPr>
            </w:pPr>
            <w:r>
              <w:rPr>
                <w:rFonts w:hint="eastAsia" w:hAnsi="宋体" w:cs="宋体"/>
                <w:color w:val="000000"/>
                <w:kern w:val="0"/>
                <w:sz w:val="21"/>
                <w:szCs w:val="21"/>
              </w:rPr>
              <w:t>一般处罚</w:t>
            </w:r>
          </w:p>
        </w:tc>
        <w:tc>
          <w:tcPr>
            <w:tcW w:w="1028" w:type="pct"/>
            <w:shd w:val="clear" w:color="auto" w:fill="auto"/>
            <w:noWrap/>
            <w:vAlign w:val="center"/>
          </w:tcPr>
          <w:p w14:paraId="72268DB2">
            <w:pPr>
              <w:adjustRightInd w:val="0"/>
              <w:snapToGrid w:val="0"/>
              <w:rPr>
                <w:rFonts w:hAnsi="宋体" w:cs="宋体"/>
                <w:color w:val="000000"/>
                <w:kern w:val="0"/>
                <w:sz w:val="21"/>
                <w:szCs w:val="21"/>
              </w:rPr>
            </w:pPr>
            <w:r>
              <w:rPr>
                <w:rFonts w:hint="eastAsia" w:hAnsi="宋体" w:cs="宋体"/>
                <w:color w:val="000000"/>
                <w:kern w:val="0"/>
                <w:sz w:val="21"/>
                <w:szCs w:val="21"/>
              </w:rPr>
              <w:t>违法所得10万元以上不足</w:t>
            </w:r>
            <w:r>
              <w:rPr>
                <w:rFonts w:hAnsi="宋体" w:cs="宋体"/>
                <w:color w:val="000000"/>
                <w:kern w:val="0"/>
                <w:sz w:val="21"/>
                <w:szCs w:val="21"/>
                <w:lang w:val="en"/>
              </w:rPr>
              <w:t>30</w:t>
            </w:r>
            <w:r>
              <w:rPr>
                <w:rFonts w:hint="eastAsia" w:hAnsi="宋体" w:cs="宋体"/>
                <w:color w:val="000000"/>
                <w:kern w:val="0"/>
                <w:sz w:val="21"/>
                <w:szCs w:val="21"/>
              </w:rPr>
              <w:t>万元的。</w:t>
            </w:r>
          </w:p>
        </w:tc>
        <w:tc>
          <w:tcPr>
            <w:tcW w:w="612" w:type="pct"/>
            <w:shd w:val="clear" w:color="auto" w:fill="auto"/>
            <w:noWrap/>
            <w:vAlign w:val="center"/>
          </w:tcPr>
          <w:p w14:paraId="24D55B37">
            <w:pPr>
              <w:adjustRightInd w:val="0"/>
              <w:snapToGrid w:val="0"/>
              <w:rPr>
                <w:rFonts w:hAnsi="宋体" w:cs="宋体"/>
                <w:color w:val="000000"/>
                <w:kern w:val="0"/>
                <w:sz w:val="21"/>
                <w:szCs w:val="21"/>
              </w:rPr>
            </w:pPr>
          </w:p>
          <w:p w14:paraId="4A2C60D5">
            <w:pPr>
              <w:adjustRightInd w:val="0"/>
              <w:snapToGrid w:val="0"/>
              <w:rPr>
                <w:rFonts w:hAnsi="宋体" w:cs="宋体"/>
                <w:color w:val="000000"/>
                <w:kern w:val="0"/>
                <w:sz w:val="21"/>
                <w:szCs w:val="21"/>
              </w:rPr>
            </w:pPr>
            <w:r>
              <w:rPr>
                <w:rFonts w:hint="eastAsia" w:hAnsi="宋体" w:cs="宋体"/>
                <w:color w:val="000000"/>
                <w:kern w:val="0"/>
                <w:sz w:val="21"/>
                <w:szCs w:val="21"/>
              </w:rPr>
              <w:t>没收违法所得，处违法所得2倍以上不超过4倍的罚款。</w:t>
            </w:r>
          </w:p>
          <w:p w14:paraId="37D4FA30">
            <w:pPr>
              <w:adjustRightInd w:val="0"/>
              <w:snapToGrid w:val="0"/>
              <w:rPr>
                <w:rFonts w:hAnsi="宋体" w:cs="宋体"/>
                <w:color w:val="000000"/>
                <w:kern w:val="0"/>
                <w:sz w:val="21"/>
                <w:szCs w:val="21"/>
              </w:rPr>
            </w:pPr>
          </w:p>
        </w:tc>
      </w:tr>
      <w:tr w14:paraId="32CED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47" w:hRule="atLeast"/>
          <w:jc w:val="center"/>
        </w:trPr>
        <w:tc>
          <w:tcPr>
            <w:tcW w:w="201" w:type="pct"/>
            <w:gridSpan w:val="2"/>
            <w:vMerge w:val="continue"/>
            <w:shd w:val="clear" w:color="auto" w:fill="auto"/>
            <w:vAlign w:val="center"/>
          </w:tcPr>
          <w:p w14:paraId="47BF47E7">
            <w:pPr>
              <w:adjustRightInd w:val="0"/>
              <w:snapToGrid w:val="0"/>
            </w:pPr>
          </w:p>
        </w:tc>
        <w:tc>
          <w:tcPr>
            <w:tcW w:w="1050" w:type="pct"/>
            <w:vMerge w:val="continue"/>
            <w:shd w:val="clear" w:color="auto" w:fill="auto"/>
            <w:vAlign w:val="center"/>
          </w:tcPr>
          <w:p w14:paraId="2382FBBE">
            <w:pPr>
              <w:adjustRightInd w:val="0"/>
              <w:snapToGrid w:val="0"/>
            </w:pPr>
          </w:p>
        </w:tc>
        <w:tc>
          <w:tcPr>
            <w:tcW w:w="939" w:type="pct"/>
            <w:vMerge w:val="continue"/>
            <w:shd w:val="clear" w:color="auto" w:fill="auto"/>
            <w:vAlign w:val="center"/>
          </w:tcPr>
          <w:p w14:paraId="6AD95F48">
            <w:pPr>
              <w:adjustRightInd w:val="0"/>
              <w:snapToGrid w:val="0"/>
            </w:pPr>
          </w:p>
        </w:tc>
        <w:tc>
          <w:tcPr>
            <w:tcW w:w="929" w:type="pct"/>
            <w:vMerge w:val="continue"/>
            <w:shd w:val="clear" w:color="auto" w:fill="auto"/>
            <w:vAlign w:val="center"/>
          </w:tcPr>
          <w:p w14:paraId="5C39D578">
            <w:pPr>
              <w:adjustRightInd w:val="0"/>
              <w:snapToGrid w:val="0"/>
            </w:pPr>
          </w:p>
        </w:tc>
        <w:tc>
          <w:tcPr>
            <w:tcW w:w="237" w:type="pct"/>
            <w:shd w:val="clear" w:color="auto" w:fill="auto"/>
            <w:noWrap/>
            <w:vAlign w:val="center"/>
          </w:tcPr>
          <w:p w14:paraId="599EDC2F">
            <w:pPr>
              <w:adjustRightInd w:val="0"/>
              <w:snapToGrid w:val="0"/>
              <w:jc w:val="center"/>
              <w:rPr>
                <w:rFonts w:hAnsi="宋体" w:cs="宋体"/>
                <w:color w:val="000000"/>
                <w:kern w:val="0"/>
                <w:sz w:val="21"/>
                <w:szCs w:val="21"/>
              </w:rPr>
            </w:pPr>
            <w:r>
              <w:rPr>
                <w:rFonts w:hint="eastAsia" w:hAnsi="宋体" w:cs="宋体"/>
                <w:color w:val="000000"/>
                <w:kern w:val="0"/>
                <w:sz w:val="21"/>
                <w:szCs w:val="21"/>
              </w:rPr>
              <w:t>从重处罚</w:t>
            </w:r>
          </w:p>
        </w:tc>
        <w:tc>
          <w:tcPr>
            <w:tcW w:w="1028" w:type="pct"/>
            <w:shd w:val="clear" w:color="auto" w:fill="auto"/>
            <w:noWrap/>
            <w:vAlign w:val="center"/>
          </w:tcPr>
          <w:p w14:paraId="144D4D08">
            <w:pPr>
              <w:adjustRightInd w:val="0"/>
              <w:snapToGrid w:val="0"/>
              <w:rPr>
                <w:rFonts w:hAnsi="宋体" w:cs="宋体"/>
                <w:color w:val="000000"/>
                <w:kern w:val="0"/>
                <w:sz w:val="21"/>
                <w:szCs w:val="21"/>
              </w:rPr>
            </w:pPr>
            <w:r>
              <w:rPr>
                <w:rFonts w:hint="eastAsia" w:hAnsi="宋体" w:cs="宋体"/>
                <w:color w:val="000000"/>
                <w:kern w:val="0"/>
                <w:sz w:val="21"/>
                <w:szCs w:val="21"/>
              </w:rPr>
              <w:t>违法所得</w:t>
            </w:r>
            <w:r>
              <w:rPr>
                <w:rFonts w:hAnsi="宋体" w:cs="宋体"/>
                <w:color w:val="000000"/>
                <w:kern w:val="0"/>
                <w:sz w:val="21"/>
                <w:szCs w:val="21"/>
                <w:lang w:val="en"/>
              </w:rPr>
              <w:t>3</w:t>
            </w:r>
            <w:r>
              <w:rPr>
                <w:rFonts w:hint="eastAsia" w:hAnsi="宋体" w:cs="宋体"/>
                <w:color w:val="000000"/>
                <w:kern w:val="0"/>
                <w:sz w:val="21"/>
                <w:szCs w:val="21"/>
              </w:rPr>
              <w:t>0万元以上的。</w:t>
            </w:r>
          </w:p>
        </w:tc>
        <w:tc>
          <w:tcPr>
            <w:tcW w:w="612" w:type="pct"/>
            <w:shd w:val="clear" w:color="auto" w:fill="auto"/>
            <w:noWrap/>
            <w:vAlign w:val="center"/>
          </w:tcPr>
          <w:p w14:paraId="2C5ED98E">
            <w:pPr>
              <w:adjustRightInd w:val="0"/>
              <w:snapToGrid w:val="0"/>
              <w:rPr>
                <w:rFonts w:hAnsi="宋体" w:cs="宋体"/>
                <w:color w:val="000000"/>
                <w:kern w:val="0"/>
                <w:sz w:val="21"/>
                <w:szCs w:val="21"/>
              </w:rPr>
            </w:pPr>
            <w:r>
              <w:rPr>
                <w:rFonts w:hint="eastAsia" w:hAnsi="宋体" w:cs="宋体"/>
                <w:color w:val="000000"/>
                <w:kern w:val="0"/>
                <w:sz w:val="21"/>
                <w:szCs w:val="21"/>
              </w:rPr>
              <w:t>没收违法所得，处违法所得4倍以上5倍以下的罚款。</w:t>
            </w:r>
          </w:p>
        </w:tc>
      </w:tr>
      <w:tr w14:paraId="3281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995" w:hRule="atLeast"/>
          <w:jc w:val="center"/>
        </w:trPr>
        <w:tc>
          <w:tcPr>
            <w:tcW w:w="201" w:type="pct"/>
            <w:gridSpan w:val="2"/>
            <w:shd w:val="clear" w:color="auto" w:fill="auto"/>
            <w:vAlign w:val="center"/>
          </w:tcPr>
          <w:p w14:paraId="46220855">
            <w:pPr>
              <w:adjustRightInd w:val="0"/>
              <w:snapToGrid w:val="0"/>
              <w:jc w:val="center"/>
              <w:rPr>
                <w:rFonts w:hAnsi="宋体" w:cs="宋体"/>
                <w:color w:val="000000"/>
                <w:kern w:val="0"/>
                <w:sz w:val="21"/>
                <w:szCs w:val="21"/>
              </w:rPr>
            </w:pPr>
            <w:r>
              <w:rPr>
                <w:rFonts w:hint="eastAsia" w:hAnsi="宋体" w:cs="宋体"/>
                <w:color w:val="000000"/>
                <w:kern w:val="0"/>
                <w:sz w:val="21"/>
                <w:szCs w:val="21"/>
              </w:rPr>
              <w:t>108</w:t>
            </w:r>
          </w:p>
        </w:tc>
        <w:tc>
          <w:tcPr>
            <w:tcW w:w="1050" w:type="pct"/>
            <w:shd w:val="clear" w:color="auto" w:fill="auto"/>
            <w:vAlign w:val="center"/>
          </w:tcPr>
          <w:p w14:paraId="2F64492D">
            <w:pPr>
              <w:adjustRightInd w:val="0"/>
              <w:snapToGrid w:val="0"/>
              <w:rPr>
                <w:rFonts w:hAnsi="宋体" w:cs="宋体"/>
                <w:color w:val="000000"/>
                <w:kern w:val="0"/>
                <w:sz w:val="21"/>
                <w:szCs w:val="21"/>
              </w:rPr>
            </w:pPr>
            <w:r>
              <w:rPr>
                <w:rFonts w:hint="eastAsia" w:hAnsi="宋体" w:cs="宋体"/>
                <w:color w:val="000000"/>
                <w:kern w:val="0"/>
                <w:sz w:val="21"/>
                <w:szCs w:val="21"/>
              </w:rPr>
              <w:t>向实行火葬的地区销售棺材等土葬用品。</w:t>
            </w:r>
          </w:p>
        </w:tc>
        <w:tc>
          <w:tcPr>
            <w:tcW w:w="939" w:type="pct"/>
            <w:shd w:val="clear" w:color="auto" w:fill="auto"/>
            <w:vAlign w:val="center"/>
          </w:tcPr>
          <w:p w14:paraId="066CFF46">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17560913">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第四十四条第二款：禁止向实行火葬的地区销售棺材等土葬用品。</w:t>
            </w:r>
          </w:p>
        </w:tc>
        <w:tc>
          <w:tcPr>
            <w:tcW w:w="929" w:type="pct"/>
            <w:shd w:val="clear" w:color="auto" w:fill="auto"/>
            <w:vAlign w:val="center"/>
          </w:tcPr>
          <w:p w14:paraId="4F3328DF">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21F2FA4C">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六十三条：有下列情形之一的，由县级以上地方人民政府民政部门会同市场监管部门责令改正，没收违法所得；没有违法所得或者违法所得不足10万元的，处3万元以上20万元以下的罚款；违法所得10万元以上的，处违法所得2倍以上5倍以下的罚款：</w:t>
            </w:r>
          </w:p>
          <w:p w14:paraId="56B7E112">
            <w:pPr>
              <w:adjustRightInd w:val="0"/>
              <w:snapToGrid w:val="0"/>
              <w:rPr>
                <w:rFonts w:hAnsi="宋体" w:cs="宋体"/>
                <w:color w:val="000000"/>
                <w:kern w:val="0"/>
                <w:sz w:val="21"/>
                <w:szCs w:val="21"/>
              </w:rPr>
            </w:pPr>
            <w:r>
              <w:rPr>
                <w:rFonts w:hint="eastAsia" w:hAnsi="宋体" w:cs="宋体"/>
                <w:color w:val="000000"/>
                <w:kern w:val="0"/>
                <w:sz w:val="21"/>
                <w:szCs w:val="21"/>
              </w:rPr>
              <w:t>……</w:t>
            </w:r>
          </w:p>
          <w:p w14:paraId="04F8F3B3">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（三）向实行火葬的地区销售棺材等土葬用品。</w:t>
            </w:r>
          </w:p>
        </w:tc>
        <w:tc>
          <w:tcPr>
            <w:tcW w:w="237" w:type="pct"/>
            <w:shd w:val="clear" w:color="auto" w:fill="auto"/>
            <w:noWrap/>
            <w:vAlign w:val="center"/>
          </w:tcPr>
          <w:p w14:paraId="0D010DF2">
            <w:pPr>
              <w:adjustRightInd w:val="0"/>
              <w:snapToGrid w:val="0"/>
              <w:jc w:val="center"/>
              <w:rPr>
                <w:rFonts w:hAnsi="宋体" w:cs="宋体"/>
                <w:color w:val="000000"/>
                <w:kern w:val="0"/>
                <w:sz w:val="21"/>
                <w:szCs w:val="21"/>
              </w:rPr>
            </w:pPr>
            <w:r>
              <w:rPr>
                <w:rFonts w:hint="eastAsia" w:hAnsi="宋体" w:cs="宋体"/>
                <w:kern w:val="0"/>
                <w:sz w:val="21"/>
                <w:szCs w:val="21"/>
              </w:rPr>
              <w:t>从轻处罚</w:t>
            </w:r>
          </w:p>
        </w:tc>
        <w:tc>
          <w:tcPr>
            <w:tcW w:w="1028" w:type="pct"/>
            <w:shd w:val="clear" w:color="auto" w:fill="auto"/>
            <w:noWrap/>
            <w:vAlign w:val="center"/>
          </w:tcPr>
          <w:p w14:paraId="4AF615C6">
            <w:pPr>
              <w:adjustRightInd w:val="0"/>
              <w:snapToGrid w:val="0"/>
              <w:rPr>
                <w:rFonts w:hAnsi="宋体" w:cs="宋体"/>
                <w:color w:val="000000"/>
                <w:kern w:val="0"/>
                <w:sz w:val="21"/>
                <w:szCs w:val="21"/>
              </w:rPr>
            </w:pPr>
            <w:r>
              <w:rPr>
                <w:rFonts w:hint="eastAsia" w:hAnsi="宋体" w:cs="宋体"/>
                <w:color w:val="000000"/>
                <w:kern w:val="0"/>
                <w:sz w:val="21"/>
                <w:szCs w:val="21"/>
              </w:rPr>
              <w:t>没有违法所得或者违法所得不足10万元的。</w:t>
            </w:r>
          </w:p>
        </w:tc>
        <w:tc>
          <w:tcPr>
            <w:tcW w:w="612" w:type="pct"/>
            <w:shd w:val="clear" w:color="auto" w:fill="auto"/>
            <w:noWrap/>
            <w:vAlign w:val="center"/>
          </w:tcPr>
          <w:p w14:paraId="74651637">
            <w:pPr>
              <w:adjustRightInd w:val="0"/>
              <w:snapToGrid w:val="0"/>
              <w:rPr>
                <w:rFonts w:hAnsi="宋体" w:cs="宋体"/>
                <w:color w:val="000000"/>
                <w:kern w:val="0"/>
                <w:sz w:val="21"/>
                <w:szCs w:val="21"/>
              </w:rPr>
            </w:pPr>
            <w:r>
              <w:rPr>
                <w:rFonts w:hint="eastAsia" w:hAnsi="宋体" w:cs="宋体"/>
                <w:color w:val="000000"/>
                <w:kern w:val="0"/>
                <w:sz w:val="21"/>
                <w:szCs w:val="21"/>
              </w:rPr>
              <w:t>1.情节较轻，造成较小不良社会影响的，处3万元以上不超过10万元的罚款，有违法所得的一并没收违法所得；</w:t>
            </w:r>
          </w:p>
          <w:p w14:paraId="3F9977E0">
            <w:pPr>
              <w:adjustRightInd w:val="0"/>
              <w:snapToGrid w:val="0"/>
              <w:rPr>
                <w:rFonts w:hAnsi="宋体" w:cs="宋体"/>
                <w:color w:val="000000"/>
                <w:kern w:val="0"/>
                <w:sz w:val="21"/>
                <w:szCs w:val="21"/>
              </w:rPr>
            </w:pPr>
            <w:r>
              <w:rPr>
                <w:rFonts w:hint="eastAsia" w:hAnsi="宋体" w:cs="宋体"/>
                <w:color w:val="000000"/>
                <w:kern w:val="0"/>
                <w:sz w:val="21"/>
                <w:szCs w:val="21"/>
              </w:rPr>
              <w:t>2.情节较重，造成较大不良社会影响的，处10万元以上不超过15万元的罚款，有违法所得的一并没收违法所得；</w:t>
            </w:r>
          </w:p>
          <w:p w14:paraId="248A9754">
            <w:pPr>
              <w:adjustRightInd w:val="0"/>
              <w:snapToGrid w:val="0"/>
              <w:rPr>
                <w:rFonts w:hAnsi="宋体" w:cs="宋体"/>
                <w:color w:val="000000"/>
                <w:kern w:val="0"/>
                <w:sz w:val="21"/>
                <w:szCs w:val="21"/>
              </w:rPr>
            </w:pPr>
            <w:r>
              <w:rPr>
                <w:rFonts w:hint="eastAsia" w:hAnsi="宋体" w:cs="宋体"/>
                <w:color w:val="000000"/>
                <w:kern w:val="0"/>
                <w:sz w:val="21"/>
                <w:szCs w:val="21"/>
              </w:rPr>
              <w:t>3.情节严重，造成严重不良社会影响的，处15万元以上20万元以下的罚款，有违法所得的一并没收违法所得。</w:t>
            </w:r>
          </w:p>
        </w:tc>
      </w:tr>
      <w:tr w14:paraId="1C91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0" w:hRule="atLeast"/>
          <w:jc w:val="center"/>
        </w:trPr>
        <w:tc>
          <w:tcPr>
            <w:tcW w:w="201" w:type="pct"/>
            <w:gridSpan w:val="2"/>
            <w:vMerge w:val="restart"/>
            <w:shd w:val="clear" w:color="auto" w:fill="auto"/>
            <w:vAlign w:val="center"/>
          </w:tcPr>
          <w:p w14:paraId="1615C692">
            <w:pPr>
              <w:adjustRightInd w:val="0"/>
              <w:snapToGrid w:val="0"/>
              <w:jc w:val="center"/>
              <w:rPr>
                <w:rFonts w:hAnsi="宋体" w:cs="宋体"/>
                <w:color w:val="000000"/>
                <w:kern w:val="0"/>
                <w:sz w:val="21"/>
                <w:szCs w:val="21"/>
              </w:rPr>
            </w:pPr>
            <w:r>
              <w:rPr>
                <w:rFonts w:hint="eastAsia" w:hAnsi="宋体" w:cs="宋体"/>
                <w:color w:val="000000"/>
                <w:kern w:val="0"/>
                <w:sz w:val="21"/>
                <w:szCs w:val="21"/>
              </w:rPr>
              <w:t>108</w:t>
            </w:r>
          </w:p>
        </w:tc>
        <w:tc>
          <w:tcPr>
            <w:tcW w:w="1050" w:type="pct"/>
            <w:vMerge w:val="restart"/>
            <w:shd w:val="clear" w:color="auto" w:fill="auto"/>
            <w:vAlign w:val="center"/>
          </w:tcPr>
          <w:p w14:paraId="075E120C">
            <w:pPr>
              <w:adjustRightInd w:val="0"/>
              <w:snapToGrid w:val="0"/>
              <w:rPr>
                <w:rFonts w:hAnsi="宋体" w:cs="宋体"/>
                <w:color w:val="000000"/>
                <w:kern w:val="0"/>
                <w:sz w:val="21"/>
                <w:szCs w:val="21"/>
              </w:rPr>
            </w:pPr>
            <w:r>
              <w:rPr>
                <w:rFonts w:hint="eastAsia" w:hAnsi="宋体" w:cs="宋体"/>
                <w:color w:val="000000"/>
                <w:kern w:val="0"/>
                <w:sz w:val="21"/>
                <w:szCs w:val="21"/>
              </w:rPr>
              <w:t>向实行火葬的地区销售棺材等土葬用品。</w:t>
            </w:r>
          </w:p>
        </w:tc>
        <w:tc>
          <w:tcPr>
            <w:tcW w:w="939" w:type="pct"/>
            <w:vMerge w:val="restart"/>
            <w:shd w:val="clear" w:color="auto" w:fill="auto"/>
            <w:vAlign w:val="center"/>
          </w:tcPr>
          <w:p w14:paraId="45024652">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4CF2FEA6">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第四十四条第二款：禁止向实行火葬的地区销售棺材等土葬用品。</w:t>
            </w:r>
          </w:p>
        </w:tc>
        <w:tc>
          <w:tcPr>
            <w:tcW w:w="929" w:type="pct"/>
            <w:vMerge w:val="restart"/>
            <w:shd w:val="clear" w:color="auto" w:fill="auto"/>
            <w:vAlign w:val="center"/>
          </w:tcPr>
          <w:p w14:paraId="69B2C8C5">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15AD4813">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六十三条：有下列情形之一的，由县级以上地方人民政府民政部门会同市场监管部门责令改正，没收违法所得；没有违法所得或者违法所得不足10万元的，处3万元以上20万元以下的罚款；违法所得10万元以上的，处违法所得2倍以上5倍以下的罚款：</w:t>
            </w:r>
          </w:p>
          <w:p w14:paraId="159B3177">
            <w:pPr>
              <w:adjustRightInd w:val="0"/>
              <w:snapToGrid w:val="0"/>
              <w:rPr>
                <w:rFonts w:hAnsi="宋体" w:cs="宋体"/>
                <w:color w:val="000000"/>
                <w:kern w:val="0"/>
                <w:sz w:val="21"/>
                <w:szCs w:val="21"/>
              </w:rPr>
            </w:pPr>
            <w:r>
              <w:rPr>
                <w:rFonts w:hint="eastAsia" w:hAnsi="宋体" w:cs="宋体"/>
                <w:color w:val="000000"/>
                <w:kern w:val="0"/>
                <w:sz w:val="21"/>
                <w:szCs w:val="21"/>
              </w:rPr>
              <w:t>……</w:t>
            </w:r>
          </w:p>
          <w:p w14:paraId="2602481D">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（三）向实行火葬的地区销售棺材等土葬用品。</w:t>
            </w:r>
          </w:p>
        </w:tc>
        <w:tc>
          <w:tcPr>
            <w:tcW w:w="237" w:type="pct"/>
            <w:shd w:val="clear" w:color="auto" w:fill="auto"/>
            <w:noWrap/>
            <w:vAlign w:val="center"/>
          </w:tcPr>
          <w:p w14:paraId="69EE751A">
            <w:pPr>
              <w:adjustRightInd w:val="0"/>
              <w:snapToGrid w:val="0"/>
              <w:jc w:val="center"/>
              <w:rPr>
                <w:rFonts w:hAnsi="宋体" w:cs="宋体"/>
                <w:color w:val="000000"/>
                <w:kern w:val="0"/>
                <w:sz w:val="21"/>
                <w:szCs w:val="21"/>
              </w:rPr>
            </w:pPr>
            <w:r>
              <w:rPr>
                <w:rFonts w:hint="eastAsia" w:hAnsi="宋体" w:cs="宋体"/>
                <w:kern w:val="0"/>
                <w:sz w:val="21"/>
                <w:szCs w:val="21"/>
              </w:rPr>
              <w:t>一般处罚</w:t>
            </w:r>
          </w:p>
        </w:tc>
        <w:tc>
          <w:tcPr>
            <w:tcW w:w="1028" w:type="pct"/>
            <w:shd w:val="clear" w:color="auto" w:fill="auto"/>
            <w:noWrap/>
            <w:vAlign w:val="center"/>
          </w:tcPr>
          <w:p w14:paraId="43D97D7E">
            <w:pPr>
              <w:adjustRightInd w:val="0"/>
              <w:snapToGrid w:val="0"/>
              <w:rPr>
                <w:rFonts w:hAnsi="宋体" w:cs="宋体"/>
                <w:color w:val="000000"/>
                <w:kern w:val="0"/>
                <w:sz w:val="21"/>
                <w:szCs w:val="21"/>
              </w:rPr>
            </w:pPr>
            <w:r>
              <w:rPr>
                <w:rFonts w:hint="eastAsia" w:hAnsi="宋体" w:cs="宋体"/>
                <w:color w:val="000000"/>
                <w:kern w:val="0"/>
                <w:sz w:val="21"/>
                <w:szCs w:val="21"/>
              </w:rPr>
              <w:t>违法所得10万元以上不足</w:t>
            </w:r>
            <w:r>
              <w:rPr>
                <w:rFonts w:hAnsi="宋体" w:cs="宋体"/>
                <w:color w:val="000000"/>
                <w:kern w:val="0"/>
                <w:sz w:val="21"/>
                <w:szCs w:val="21"/>
                <w:lang w:val="en"/>
              </w:rPr>
              <w:t>30</w:t>
            </w:r>
            <w:r>
              <w:rPr>
                <w:rFonts w:hint="eastAsia" w:hAnsi="宋体" w:cs="宋体"/>
                <w:color w:val="000000"/>
                <w:kern w:val="0"/>
                <w:sz w:val="21"/>
                <w:szCs w:val="21"/>
              </w:rPr>
              <w:t>万元的。</w:t>
            </w:r>
          </w:p>
        </w:tc>
        <w:tc>
          <w:tcPr>
            <w:tcW w:w="612" w:type="pct"/>
            <w:shd w:val="clear" w:color="auto" w:fill="auto"/>
            <w:noWrap/>
            <w:vAlign w:val="center"/>
          </w:tcPr>
          <w:p w14:paraId="44BD5511">
            <w:pPr>
              <w:adjustRightInd w:val="0"/>
              <w:snapToGrid w:val="0"/>
              <w:rPr>
                <w:rFonts w:hAnsi="宋体" w:cs="宋体"/>
                <w:color w:val="000000"/>
                <w:kern w:val="0"/>
                <w:sz w:val="21"/>
                <w:szCs w:val="21"/>
              </w:rPr>
            </w:pPr>
          </w:p>
          <w:p w14:paraId="13A19A72">
            <w:pPr>
              <w:adjustRightInd w:val="0"/>
              <w:snapToGrid w:val="0"/>
              <w:rPr>
                <w:rFonts w:hAnsi="宋体" w:cs="宋体"/>
                <w:color w:val="000000"/>
                <w:kern w:val="0"/>
                <w:sz w:val="21"/>
                <w:szCs w:val="21"/>
              </w:rPr>
            </w:pPr>
            <w:r>
              <w:rPr>
                <w:rFonts w:hint="eastAsia" w:hAnsi="宋体" w:cs="宋体"/>
                <w:color w:val="000000"/>
                <w:kern w:val="0"/>
                <w:sz w:val="21"/>
                <w:szCs w:val="21"/>
              </w:rPr>
              <w:t>没收违法所得，处违法所得2倍以上不超过4倍的罚款。</w:t>
            </w:r>
          </w:p>
          <w:p w14:paraId="49BB6508">
            <w:pPr>
              <w:adjustRightInd w:val="0"/>
              <w:snapToGrid w:val="0"/>
              <w:rPr>
                <w:rFonts w:hAnsi="宋体" w:cs="宋体"/>
                <w:color w:val="000000"/>
                <w:kern w:val="0"/>
                <w:sz w:val="21"/>
                <w:szCs w:val="21"/>
              </w:rPr>
            </w:pPr>
          </w:p>
        </w:tc>
      </w:tr>
      <w:tr w14:paraId="126D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0" w:hRule="atLeast"/>
          <w:jc w:val="center"/>
        </w:trPr>
        <w:tc>
          <w:tcPr>
            <w:tcW w:w="201" w:type="pct"/>
            <w:gridSpan w:val="2"/>
            <w:vMerge w:val="continue"/>
            <w:shd w:val="clear" w:color="auto" w:fill="auto"/>
            <w:vAlign w:val="center"/>
          </w:tcPr>
          <w:p w14:paraId="1DA76FD8">
            <w:pPr>
              <w:adjustRightInd w:val="0"/>
              <w:snapToGrid w:val="0"/>
            </w:pPr>
          </w:p>
        </w:tc>
        <w:tc>
          <w:tcPr>
            <w:tcW w:w="1050" w:type="pct"/>
            <w:vMerge w:val="continue"/>
            <w:shd w:val="clear" w:color="auto" w:fill="auto"/>
            <w:vAlign w:val="center"/>
          </w:tcPr>
          <w:p w14:paraId="53FFBE1B">
            <w:pPr>
              <w:adjustRightInd w:val="0"/>
              <w:snapToGrid w:val="0"/>
            </w:pPr>
          </w:p>
        </w:tc>
        <w:tc>
          <w:tcPr>
            <w:tcW w:w="939" w:type="pct"/>
            <w:vMerge w:val="continue"/>
            <w:shd w:val="clear" w:color="auto" w:fill="auto"/>
            <w:vAlign w:val="center"/>
          </w:tcPr>
          <w:p w14:paraId="7749C13B">
            <w:pPr>
              <w:adjustRightInd w:val="0"/>
              <w:snapToGrid w:val="0"/>
            </w:pPr>
          </w:p>
        </w:tc>
        <w:tc>
          <w:tcPr>
            <w:tcW w:w="929" w:type="pct"/>
            <w:vMerge w:val="continue"/>
            <w:shd w:val="clear" w:color="auto" w:fill="auto"/>
            <w:vAlign w:val="center"/>
          </w:tcPr>
          <w:p w14:paraId="1EA869BE">
            <w:pPr>
              <w:adjustRightInd w:val="0"/>
              <w:snapToGrid w:val="0"/>
            </w:pPr>
          </w:p>
        </w:tc>
        <w:tc>
          <w:tcPr>
            <w:tcW w:w="237" w:type="pct"/>
            <w:shd w:val="clear" w:color="auto" w:fill="auto"/>
            <w:noWrap/>
            <w:vAlign w:val="center"/>
          </w:tcPr>
          <w:p w14:paraId="419E8668">
            <w:pPr>
              <w:adjustRightInd w:val="0"/>
              <w:snapToGrid w:val="0"/>
              <w:jc w:val="center"/>
              <w:rPr>
                <w:rFonts w:hAnsi="宋体" w:cs="宋体"/>
                <w:color w:val="000000"/>
                <w:kern w:val="0"/>
                <w:sz w:val="21"/>
                <w:szCs w:val="21"/>
              </w:rPr>
            </w:pPr>
            <w:r>
              <w:rPr>
                <w:rFonts w:hint="eastAsia" w:hAnsi="宋体" w:cs="宋体"/>
                <w:kern w:val="0"/>
                <w:sz w:val="21"/>
                <w:szCs w:val="21"/>
              </w:rPr>
              <w:t>从重处罚</w:t>
            </w:r>
          </w:p>
        </w:tc>
        <w:tc>
          <w:tcPr>
            <w:tcW w:w="1028" w:type="pct"/>
            <w:shd w:val="clear" w:color="auto" w:fill="auto"/>
            <w:noWrap/>
            <w:vAlign w:val="center"/>
          </w:tcPr>
          <w:p w14:paraId="46AB362C">
            <w:pPr>
              <w:adjustRightInd w:val="0"/>
              <w:snapToGrid w:val="0"/>
              <w:rPr>
                <w:rFonts w:hAnsi="宋体" w:cs="宋体"/>
                <w:color w:val="000000"/>
                <w:kern w:val="0"/>
                <w:sz w:val="21"/>
                <w:szCs w:val="21"/>
              </w:rPr>
            </w:pPr>
            <w:r>
              <w:rPr>
                <w:rFonts w:hint="eastAsia" w:hAnsi="宋体" w:cs="宋体"/>
                <w:color w:val="000000"/>
                <w:kern w:val="0"/>
                <w:sz w:val="21"/>
                <w:szCs w:val="21"/>
              </w:rPr>
              <w:t>违法所得</w:t>
            </w:r>
            <w:r>
              <w:rPr>
                <w:rFonts w:hAnsi="宋体" w:cs="宋体"/>
                <w:color w:val="000000"/>
                <w:kern w:val="0"/>
                <w:sz w:val="21"/>
                <w:szCs w:val="21"/>
                <w:lang w:val="en"/>
              </w:rPr>
              <w:t>3</w:t>
            </w:r>
            <w:r>
              <w:rPr>
                <w:rFonts w:hint="eastAsia" w:hAnsi="宋体" w:cs="宋体"/>
                <w:color w:val="000000"/>
                <w:kern w:val="0"/>
                <w:sz w:val="21"/>
                <w:szCs w:val="21"/>
              </w:rPr>
              <w:t>0万元以上的。</w:t>
            </w:r>
          </w:p>
        </w:tc>
        <w:tc>
          <w:tcPr>
            <w:tcW w:w="612" w:type="pct"/>
            <w:shd w:val="clear" w:color="auto" w:fill="auto"/>
            <w:noWrap/>
            <w:vAlign w:val="center"/>
          </w:tcPr>
          <w:p w14:paraId="38984E7D">
            <w:pPr>
              <w:adjustRightInd w:val="0"/>
              <w:snapToGrid w:val="0"/>
              <w:rPr>
                <w:rFonts w:hAnsi="宋体" w:cs="宋体"/>
                <w:color w:val="000000"/>
                <w:kern w:val="0"/>
                <w:sz w:val="21"/>
                <w:szCs w:val="21"/>
              </w:rPr>
            </w:pPr>
            <w:r>
              <w:rPr>
                <w:rFonts w:hint="eastAsia" w:hAnsi="宋体" w:cs="宋体"/>
                <w:color w:val="000000"/>
                <w:kern w:val="0"/>
                <w:sz w:val="21"/>
                <w:szCs w:val="21"/>
              </w:rPr>
              <w:t>没收违法所得，处违法所得4倍以上5倍以下的罚款。</w:t>
            </w:r>
          </w:p>
        </w:tc>
      </w:tr>
      <w:tr w14:paraId="653E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028" w:hRule="atLeast"/>
          <w:jc w:val="center"/>
        </w:trPr>
        <w:tc>
          <w:tcPr>
            <w:tcW w:w="201" w:type="pct"/>
            <w:gridSpan w:val="2"/>
            <w:shd w:val="clear" w:color="auto" w:fill="auto"/>
            <w:vAlign w:val="center"/>
          </w:tcPr>
          <w:p w14:paraId="739FD743">
            <w:pPr>
              <w:adjustRightInd w:val="0"/>
              <w:snapToGrid w:val="0"/>
              <w:jc w:val="center"/>
              <w:rPr>
                <w:rFonts w:hAnsi="宋体" w:cs="宋体"/>
                <w:color w:val="000000"/>
                <w:kern w:val="0"/>
                <w:sz w:val="21"/>
                <w:szCs w:val="21"/>
              </w:rPr>
            </w:pPr>
            <w:r>
              <w:rPr>
                <w:rFonts w:hint="eastAsia" w:hAnsi="宋体" w:cs="宋体"/>
                <w:color w:val="000000"/>
                <w:kern w:val="0"/>
                <w:sz w:val="21"/>
                <w:szCs w:val="21"/>
              </w:rPr>
              <w:t>109</w:t>
            </w:r>
          </w:p>
        </w:tc>
        <w:tc>
          <w:tcPr>
            <w:tcW w:w="1050" w:type="pct"/>
            <w:shd w:val="clear" w:color="auto" w:fill="auto"/>
            <w:vAlign w:val="center"/>
          </w:tcPr>
          <w:p w14:paraId="5583DA14">
            <w:pPr>
              <w:adjustRightInd w:val="0"/>
              <w:snapToGrid w:val="0"/>
              <w:rPr>
                <w:rFonts w:hAnsi="宋体" w:cs="宋体"/>
                <w:color w:val="000000"/>
                <w:kern w:val="0"/>
                <w:sz w:val="21"/>
                <w:szCs w:val="21"/>
              </w:rPr>
            </w:pPr>
            <w:r>
              <w:rPr>
                <w:rFonts w:hint="eastAsia" w:hAnsi="宋体" w:cs="宋体"/>
                <w:color w:val="000000"/>
                <w:kern w:val="0"/>
                <w:sz w:val="21"/>
                <w:szCs w:val="21"/>
              </w:rPr>
              <w:t>其他组织或者个人擅自进行遗体接运、存放、防腐、整容、火化。</w:t>
            </w:r>
          </w:p>
        </w:tc>
        <w:tc>
          <w:tcPr>
            <w:tcW w:w="939" w:type="pct"/>
            <w:shd w:val="clear" w:color="auto" w:fill="auto"/>
            <w:vAlign w:val="center"/>
          </w:tcPr>
          <w:p w14:paraId="6A51361E">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380DA5EF">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第二十五条：遗体接运、存放、防腐、整容、火化服务，由殡仪馆专门负责提供。</w:t>
            </w:r>
          </w:p>
        </w:tc>
        <w:tc>
          <w:tcPr>
            <w:tcW w:w="929" w:type="pct"/>
            <w:shd w:val="clear" w:color="auto" w:fill="auto"/>
            <w:vAlign w:val="center"/>
          </w:tcPr>
          <w:p w14:paraId="6F4C6BF1">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543C872E">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六十五条：其他组织或者个人擅自进行遗体接运、存放、防腐、整容、火化的，由县级以上地方人民政府民政部门责令改正，给予警告，没收违法所得；没有违法所得或者违法所得不足10万元的，处5万元以上20万元以下的罚款；违法所得10万元以上的，处违法所得2倍以上5倍以下的罚款。</w:t>
            </w:r>
          </w:p>
        </w:tc>
        <w:tc>
          <w:tcPr>
            <w:tcW w:w="237" w:type="pct"/>
            <w:shd w:val="clear" w:color="auto" w:fill="auto"/>
            <w:noWrap/>
            <w:vAlign w:val="center"/>
          </w:tcPr>
          <w:p w14:paraId="69D60A4F">
            <w:pPr>
              <w:adjustRightInd w:val="0"/>
              <w:snapToGrid w:val="0"/>
              <w:jc w:val="center"/>
              <w:rPr>
                <w:rFonts w:hAnsi="宋体" w:cs="宋体"/>
                <w:kern w:val="0"/>
                <w:sz w:val="21"/>
                <w:szCs w:val="21"/>
              </w:rPr>
            </w:pPr>
            <w:r>
              <w:rPr>
                <w:rFonts w:hint="eastAsia" w:hAnsi="宋体" w:cs="宋体"/>
                <w:kern w:val="0"/>
                <w:sz w:val="21"/>
                <w:szCs w:val="21"/>
              </w:rPr>
              <w:t>从轻处罚</w:t>
            </w:r>
          </w:p>
        </w:tc>
        <w:tc>
          <w:tcPr>
            <w:tcW w:w="1028" w:type="pct"/>
            <w:shd w:val="clear" w:color="auto" w:fill="auto"/>
            <w:noWrap/>
            <w:vAlign w:val="center"/>
          </w:tcPr>
          <w:p w14:paraId="7C77D9B8">
            <w:pPr>
              <w:adjustRightInd w:val="0"/>
              <w:snapToGrid w:val="0"/>
              <w:rPr>
                <w:rFonts w:hAnsi="宋体" w:cs="宋体"/>
                <w:color w:val="000000"/>
                <w:kern w:val="0"/>
                <w:sz w:val="21"/>
                <w:szCs w:val="21"/>
              </w:rPr>
            </w:pPr>
            <w:r>
              <w:rPr>
                <w:rFonts w:hint="eastAsia" w:hAnsi="宋体" w:cs="宋体"/>
                <w:color w:val="000000"/>
                <w:kern w:val="0"/>
                <w:sz w:val="21"/>
                <w:szCs w:val="21"/>
              </w:rPr>
              <w:t>没有违法所得或者违法所得不足10万元的。</w:t>
            </w:r>
          </w:p>
        </w:tc>
        <w:tc>
          <w:tcPr>
            <w:tcW w:w="612" w:type="pct"/>
            <w:shd w:val="clear" w:color="auto" w:fill="auto"/>
            <w:noWrap/>
            <w:vAlign w:val="center"/>
          </w:tcPr>
          <w:p w14:paraId="61CF56AD">
            <w:pPr>
              <w:adjustRightInd w:val="0"/>
              <w:snapToGrid w:val="0"/>
              <w:rPr>
                <w:rFonts w:hAnsi="宋体" w:cs="宋体"/>
                <w:color w:val="000000"/>
                <w:kern w:val="0"/>
                <w:sz w:val="21"/>
                <w:szCs w:val="21"/>
              </w:rPr>
            </w:pPr>
            <w:r>
              <w:rPr>
                <w:rFonts w:hint="eastAsia" w:hAnsi="宋体" w:cs="宋体"/>
                <w:color w:val="000000"/>
                <w:kern w:val="0"/>
                <w:sz w:val="21"/>
                <w:szCs w:val="21"/>
              </w:rPr>
              <w:t>1.情节较轻，造成较小不良社会影响的，警告，处5万元以上不超过10万元的罚款，有违法所得的一并没收违法所得；</w:t>
            </w:r>
          </w:p>
          <w:p w14:paraId="5A6F4207">
            <w:pPr>
              <w:adjustRightInd w:val="0"/>
              <w:snapToGrid w:val="0"/>
              <w:rPr>
                <w:rFonts w:hAnsi="宋体" w:cs="宋体"/>
                <w:color w:val="000000"/>
                <w:kern w:val="0"/>
                <w:sz w:val="21"/>
                <w:szCs w:val="21"/>
              </w:rPr>
            </w:pPr>
            <w:r>
              <w:rPr>
                <w:rFonts w:hint="eastAsia" w:hAnsi="宋体" w:cs="宋体"/>
                <w:color w:val="000000"/>
                <w:kern w:val="0"/>
                <w:sz w:val="21"/>
                <w:szCs w:val="21"/>
              </w:rPr>
              <w:t>2.情节较重，造成较大不良社会影响的，警告，处10万元以上不超过15万元的罚款，有违法所得的一并没收违法所得；</w:t>
            </w:r>
          </w:p>
          <w:p w14:paraId="718D587F">
            <w:pPr>
              <w:adjustRightInd w:val="0"/>
              <w:snapToGrid w:val="0"/>
              <w:rPr>
                <w:rFonts w:hAnsi="宋体" w:cs="宋体"/>
                <w:color w:val="000000"/>
                <w:kern w:val="0"/>
                <w:sz w:val="21"/>
                <w:szCs w:val="21"/>
              </w:rPr>
            </w:pPr>
            <w:r>
              <w:rPr>
                <w:rFonts w:hint="eastAsia" w:hAnsi="宋体" w:cs="宋体"/>
                <w:color w:val="000000"/>
                <w:kern w:val="0"/>
                <w:sz w:val="21"/>
                <w:szCs w:val="21"/>
              </w:rPr>
              <w:t>3.情节严重，造成严重不良社会影响的，警告，处15万元以上20万元以下的罚款，有违法所得的一并没收违法所得。</w:t>
            </w:r>
          </w:p>
        </w:tc>
      </w:tr>
      <w:tr w14:paraId="20A92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80" w:hRule="atLeast"/>
          <w:jc w:val="center"/>
        </w:trPr>
        <w:tc>
          <w:tcPr>
            <w:tcW w:w="201" w:type="pct"/>
            <w:gridSpan w:val="2"/>
            <w:vMerge w:val="restart"/>
            <w:shd w:val="clear" w:color="auto" w:fill="auto"/>
            <w:vAlign w:val="center"/>
          </w:tcPr>
          <w:p w14:paraId="2F2F1F9D">
            <w:pPr>
              <w:adjustRightInd w:val="0"/>
              <w:snapToGrid w:val="0"/>
              <w:jc w:val="center"/>
              <w:rPr>
                <w:rFonts w:hAnsi="宋体" w:cs="宋体"/>
                <w:color w:val="000000"/>
                <w:kern w:val="0"/>
                <w:sz w:val="21"/>
                <w:szCs w:val="21"/>
              </w:rPr>
            </w:pPr>
            <w:r>
              <w:rPr>
                <w:rFonts w:hint="eastAsia" w:hAnsi="宋体" w:cs="宋体"/>
                <w:color w:val="000000"/>
                <w:kern w:val="0"/>
                <w:sz w:val="21"/>
                <w:szCs w:val="21"/>
              </w:rPr>
              <w:t>109</w:t>
            </w:r>
          </w:p>
        </w:tc>
        <w:tc>
          <w:tcPr>
            <w:tcW w:w="1050" w:type="pct"/>
            <w:vMerge w:val="restart"/>
            <w:shd w:val="clear" w:color="auto" w:fill="auto"/>
            <w:vAlign w:val="center"/>
          </w:tcPr>
          <w:p w14:paraId="680B78F2">
            <w:pPr>
              <w:adjustRightInd w:val="0"/>
              <w:snapToGrid w:val="0"/>
              <w:rPr>
                <w:rFonts w:hAnsi="宋体" w:cs="宋体"/>
                <w:color w:val="000000"/>
                <w:kern w:val="0"/>
                <w:sz w:val="21"/>
                <w:szCs w:val="21"/>
              </w:rPr>
            </w:pPr>
            <w:r>
              <w:rPr>
                <w:rFonts w:hint="eastAsia" w:hAnsi="宋体" w:cs="宋体"/>
                <w:color w:val="000000"/>
                <w:kern w:val="0"/>
                <w:sz w:val="21"/>
                <w:szCs w:val="21"/>
              </w:rPr>
              <w:t>其他组织或者个人擅自进行遗体接运、存放、防腐、整容、火化。</w:t>
            </w:r>
          </w:p>
        </w:tc>
        <w:tc>
          <w:tcPr>
            <w:tcW w:w="939" w:type="pct"/>
            <w:vMerge w:val="restart"/>
            <w:shd w:val="clear" w:color="auto" w:fill="auto"/>
            <w:vAlign w:val="center"/>
          </w:tcPr>
          <w:p w14:paraId="16145231">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1B63B037">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第二十五条：遗体接运、存放、防腐、整容、火化服务，由殡仪馆专门负责提供。</w:t>
            </w:r>
          </w:p>
        </w:tc>
        <w:tc>
          <w:tcPr>
            <w:tcW w:w="929" w:type="pct"/>
            <w:vMerge w:val="restart"/>
            <w:shd w:val="clear" w:color="auto" w:fill="auto"/>
            <w:vAlign w:val="center"/>
          </w:tcPr>
          <w:p w14:paraId="5599D3AA">
            <w:pPr>
              <w:adjustRightInd w:val="0"/>
              <w:snapToGrid w:val="0"/>
              <w:rPr>
                <w:rFonts w:hAnsi="宋体" w:cs="宋体"/>
                <w:color w:val="000000"/>
                <w:kern w:val="0"/>
                <w:sz w:val="21"/>
                <w:szCs w:val="21"/>
              </w:rPr>
            </w:pPr>
            <w:r>
              <w:rPr>
                <w:rFonts w:hint="eastAsia" w:hAnsi="宋体" w:cs="宋体"/>
                <w:color w:val="000000"/>
                <w:kern w:val="0"/>
                <w:sz w:val="21"/>
                <w:szCs w:val="21"/>
              </w:rPr>
              <w:t>《殡葬管理条例》</w:t>
            </w:r>
          </w:p>
          <w:p w14:paraId="4BE81DD7">
            <w:pPr>
              <w:adjustRightInd w:val="0"/>
              <w:snapToGrid w:val="0"/>
              <w:ind w:firstLine="420" w:firstLineChars="200"/>
              <w:rPr>
                <w:rFonts w:hAnsi="宋体" w:cs="宋体"/>
                <w:color w:val="000000"/>
                <w:kern w:val="0"/>
                <w:sz w:val="21"/>
                <w:szCs w:val="21"/>
              </w:rPr>
            </w:pPr>
            <w:r>
              <w:rPr>
                <w:rFonts w:hint="eastAsia" w:hAnsi="宋体" w:cs="宋体"/>
                <w:color w:val="000000"/>
                <w:kern w:val="0"/>
                <w:sz w:val="21"/>
                <w:szCs w:val="21"/>
              </w:rPr>
              <w:t>第六十五条：其他组织或者个人擅自进行遗体接运、存放、防腐、整容、火化的，由县级以上地方人民政府民政部门责令改正，给予警告，没收违法所得；没有违法所得或者违法所得不足10万元的，处5万元以上20万元以下的罚款；违法所得10万元以上的，处违法所得2倍以上5倍以下的罚款。</w:t>
            </w:r>
          </w:p>
        </w:tc>
        <w:tc>
          <w:tcPr>
            <w:tcW w:w="237" w:type="pct"/>
            <w:shd w:val="clear" w:color="auto" w:fill="auto"/>
            <w:noWrap/>
            <w:vAlign w:val="center"/>
          </w:tcPr>
          <w:p w14:paraId="0BDCA189">
            <w:pPr>
              <w:adjustRightInd w:val="0"/>
              <w:snapToGrid w:val="0"/>
              <w:jc w:val="center"/>
              <w:rPr>
                <w:rFonts w:hAnsi="宋体" w:cs="宋体"/>
                <w:kern w:val="0"/>
                <w:sz w:val="21"/>
                <w:szCs w:val="21"/>
              </w:rPr>
            </w:pPr>
            <w:r>
              <w:rPr>
                <w:rFonts w:hint="eastAsia" w:hAnsi="宋体" w:cs="宋体"/>
                <w:kern w:val="0"/>
                <w:sz w:val="21"/>
                <w:szCs w:val="21"/>
              </w:rPr>
              <w:t>一般处罚</w:t>
            </w:r>
          </w:p>
        </w:tc>
        <w:tc>
          <w:tcPr>
            <w:tcW w:w="1028" w:type="pct"/>
            <w:shd w:val="clear" w:color="auto" w:fill="auto"/>
            <w:noWrap/>
            <w:vAlign w:val="center"/>
          </w:tcPr>
          <w:p w14:paraId="213BEA21">
            <w:pPr>
              <w:adjustRightInd w:val="0"/>
              <w:snapToGrid w:val="0"/>
              <w:rPr>
                <w:rFonts w:hAnsi="宋体" w:cs="宋体"/>
                <w:color w:val="000000"/>
                <w:kern w:val="0"/>
                <w:sz w:val="21"/>
                <w:szCs w:val="21"/>
              </w:rPr>
            </w:pPr>
            <w:r>
              <w:rPr>
                <w:rFonts w:hint="eastAsia" w:hAnsi="宋体" w:cs="宋体"/>
                <w:color w:val="000000"/>
                <w:kern w:val="0"/>
                <w:sz w:val="21"/>
                <w:szCs w:val="21"/>
              </w:rPr>
              <w:t>违法所得10万元以上不足</w:t>
            </w:r>
            <w:r>
              <w:rPr>
                <w:rFonts w:hAnsi="宋体" w:cs="宋体"/>
                <w:color w:val="000000"/>
                <w:kern w:val="0"/>
                <w:sz w:val="21"/>
                <w:szCs w:val="21"/>
                <w:lang w:val="en"/>
              </w:rPr>
              <w:t>30</w:t>
            </w:r>
            <w:r>
              <w:rPr>
                <w:rFonts w:hint="eastAsia" w:hAnsi="宋体" w:cs="宋体"/>
                <w:color w:val="000000"/>
                <w:kern w:val="0"/>
                <w:sz w:val="21"/>
                <w:szCs w:val="21"/>
              </w:rPr>
              <w:t>万元的。</w:t>
            </w:r>
          </w:p>
        </w:tc>
        <w:tc>
          <w:tcPr>
            <w:tcW w:w="612" w:type="pct"/>
            <w:shd w:val="clear" w:color="auto" w:fill="auto"/>
            <w:noWrap/>
            <w:vAlign w:val="center"/>
          </w:tcPr>
          <w:p w14:paraId="2BE0FFA8">
            <w:pPr>
              <w:adjustRightInd w:val="0"/>
              <w:snapToGrid w:val="0"/>
              <w:rPr>
                <w:rFonts w:hAnsi="宋体" w:cs="宋体"/>
                <w:color w:val="000000"/>
                <w:kern w:val="0"/>
                <w:sz w:val="21"/>
                <w:szCs w:val="21"/>
              </w:rPr>
            </w:pPr>
          </w:p>
          <w:p w14:paraId="3823A3C8">
            <w:pPr>
              <w:adjustRightInd w:val="0"/>
              <w:snapToGrid w:val="0"/>
              <w:rPr>
                <w:rFonts w:hAnsi="宋体" w:cs="宋体"/>
                <w:color w:val="000000"/>
                <w:kern w:val="0"/>
                <w:sz w:val="21"/>
                <w:szCs w:val="21"/>
              </w:rPr>
            </w:pPr>
            <w:r>
              <w:rPr>
                <w:rFonts w:hint="eastAsia" w:hAnsi="宋体" w:cs="宋体"/>
                <w:color w:val="000000"/>
                <w:kern w:val="0"/>
                <w:sz w:val="21"/>
                <w:szCs w:val="21"/>
              </w:rPr>
              <w:t>警告，没收违法所得，处违法所得2倍以上不超过4倍的罚款。</w:t>
            </w:r>
          </w:p>
          <w:p w14:paraId="749012AB">
            <w:pPr>
              <w:adjustRightInd w:val="0"/>
              <w:snapToGrid w:val="0"/>
              <w:rPr>
                <w:rFonts w:hAnsi="宋体" w:cs="宋体"/>
                <w:color w:val="000000"/>
                <w:kern w:val="0"/>
                <w:sz w:val="21"/>
                <w:szCs w:val="21"/>
              </w:rPr>
            </w:pPr>
          </w:p>
        </w:tc>
      </w:tr>
      <w:tr w14:paraId="0D25E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80" w:hRule="atLeast"/>
          <w:jc w:val="center"/>
        </w:trPr>
        <w:tc>
          <w:tcPr>
            <w:tcW w:w="201" w:type="pct"/>
            <w:gridSpan w:val="2"/>
            <w:vMerge w:val="continue"/>
            <w:shd w:val="clear" w:color="auto" w:fill="auto"/>
            <w:vAlign w:val="center"/>
          </w:tcPr>
          <w:p w14:paraId="1AD66853">
            <w:pPr>
              <w:adjustRightInd w:val="0"/>
              <w:snapToGrid w:val="0"/>
            </w:pPr>
          </w:p>
        </w:tc>
        <w:tc>
          <w:tcPr>
            <w:tcW w:w="1050" w:type="pct"/>
            <w:vMerge w:val="continue"/>
            <w:shd w:val="clear" w:color="auto" w:fill="auto"/>
            <w:vAlign w:val="center"/>
          </w:tcPr>
          <w:p w14:paraId="1A379F58">
            <w:pPr>
              <w:adjustRightInd w:val="0"/>
              <w:snapToGrid w:val="0"/>
            </w:pPr>
          </w:p>
        </w:tc>
        <w:tc>
          <w:tcPr>
            <w:tcW w:w="939" w:type="pct"/>
            <w:vMerge w:val="continue"/>
            <w:shd w:val="clear" w:color="auto" w:fill="auto"/>
            <w:vAlign w:val="center"/>
          </w:tcPr>
          <w:p w14:paraId="01FAF6AB">
            <w:pPr>
              <w:adjustRightInd w:val="0"/>
              <w:snapToGrid w:val="0"/>
            </w:pPr>
          </w:p>
        </w:tc>
        <w:tc>
          <w:tcPr>
            <w:tcW w:w="929" w:type="pct"/>
            <w:vMerge w:val="continue"/>
            <w:shd w:val="clear" w:color="auto" w:fill="auto"/>
            <w:vAlign w:val="center"/>
          </w:tcPr>
          <w:p w14:paraId="4BD9C769">
            <w:pPr>
              <w:adjustRightInd w:val="0"/>
              <w:snapToGrid w:val="0"/>
            </w:pPr>
          </w:p>
        </w:tc>
        <w:tc>
          <w:tcPr>
            <w:tcW w:w="237" w:type="pct"/>
            <w:shd w:val="clear" w:color="auto" w:fill="auto"/>
            <w:noWrap/>
            <w:vAlign w:val="center"/>
          </w:tcPr>
          <w:p w14:paraId="0A393BB1">
            <w:pPr>
              <w:adjustRightInd w:val="0"/>
              <w:snapToGrid w:val="0"/>
              <w:jc w:val="center"/>
              <w:rPr>
                <w:rFonts w:hAnsi="宋体" w:cs="宋体"/>
                <w:kern w:val="0"/>
                <w:sz w:val="21"/>
                <w:szCs w:val="21"/>
              </w:rPr>
            </w:pPr>
            <w:r>
              <w:rPr>
                <w:rFonts w:hint="eastAsia" w:hAnsi="宋体" w:cs="宋体"/>
                <w:kern w:val="0"/>
                <w:sz w:val="21"/>
                <w:szCs w:val="21"/>
              </w:rPr>
              <w:t>从重处罚</w:t>
            </w:r>
          </w:p>
        </w:tc>
        <w:tc>
          <w:tcPr>
            <w:tcW w:w="1028" w:type="pct"/>
            <w:shd w:val="clear" w:color="auto" w:fill="auto"/>
            <w:noWrap/>
            <w:vAlign w:val="center"/>
          </w:tcPr>
          <w:p w14:paraId="50090E52">
            <w:pPr>
              <w:adjustRightInd w:val="0"/>
              <w:snapToGrid w:val="0"/>
              <w:rPr>
                <w:rFonts w:hAnsi="宋体" w:cs="宋体"/>
                <w:color w:val="000000"/>
                <w:kern w:val="0"/>
                <w:sz w:val="21"/>
                <w:szCs w:val="21"/>
              </w:rPr>
            </w:pPr>
            <w:r>
              <w:rPr>
                <w:rFonts w:hint="eastAsia" w:hAnsi="宋体" w:cs="宋体"/>
                <w:color w:val="000000"/>
                <w:kern w:val="0"/>
                <w:sz w:val="21"/>
                <w:szCs w:val="21"/>
              </w:rPr>
              <w:t>违法所得</w:t>
            </w:r>
            <w:r>
              <w:rPr>
                <w:rFonts w:hAnsi="宋体" w:cs="宋体"/>
                <w:color w:val="000000"/>
                <w:kern w:val="0"/>
                <w:sz w:val="21"/>
                <w:szCs w:val="21"/>
                <w:lang w:val="en"/>
              </w:rPr>
              <w:t>3</w:t>
            </w:r>
            <w:r>
              <w:rPr>
                <w:rFonts w:hint="eastAsia" w:hAnsi="宋体" w:cs="宋体"/>
                <w:color w:val="000000"/>
                <w:kern w:val="0"/>
                <w:sz w:val="21"/>
                <w:szCs w:val="21"/>
              </w:rPr>
              <w:t>0万元以上的。</w:t>
            </w:r>
          </w:p>
        </w:tc>
        <w:tc>
          <w:tcPr>
            <w:tcW w:w="612" w:type="pct"/>
            <w:shd w:val="clear" w:color="auto" w:fill="auto"/>
            <w:noWrap/>
            <w:vAlign w:val="center"/>
          </w:tcPr>
          <w:p w14:paraId="161E37B2">
            <w:pPr>
              <w:adjustRightInd w:val="0"/>
              <w:snapToGrid w:val="0"/>
              <w:rPr>
                <w:rFonts w:hAnsi="宋体" w:cs="宋体"/>
                <w:color w:val="000000"/>
                <w:kern w:val="0"/>
                <w:sz w:val="21"/>
                <w:szCs w:val="21"/>
              </w:rPr>
            </w:pPr>
            <w:r>
              <w:rPr>
                <w:rFonts w:hint="eastAsia" w:hAnsi="宋体" w:cs="宋体"/>
                <w:color w:val="000000"/>
                <w:kern w:val="0"/>
                <w:sz w:val="21"/>
                <w:szCs w:val="21"/>
              </w:rPr>
              <w:t>警告，没收违法所得，处违法所得4倍以上5倍以下的罚款。</w:t>
            </w:r>
          </w:p>
        </w:tc>
      </w:tr>
      <w:tr w14:paraId="4E161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06" w:hRule="atLeast"/>
          <w:jc w:val="center"/>
        </w:trPr>
        <w:tc>
          <w:tcPr>
            <w:tcW w:w="201" w:type="pct"/>
            <w:gridSpan w:val="2"/>
            <w:vMerge w:val="restart"/>
            <w:shd w:val="clear" w:color="auto" w:fill="auto"/>
            <w:vAlign w:val="center"/>
          </w:tcPr>
          <w:p w14:paraId="4E69920F">
            <w:pPr>
              <w:adjustRightInd w:val="0"/>
              <w:snapToGrid w:val="0"/>
              <w:jc w:val="center"/>
            </w:pPr>
            <w:r>
              <w:rPr>
                <w:rFonts w:hint="eastAsia" w:hAnsi="宋体" w:cs="宋体"/>
                <w:color w:val="000000"/>
                <w:kern w:val="0"/>
                <w:sz w:val="21"/>
                <w:szCs w:val="21"/>
              </w:rPr>
              <w:t>110</w:t>
            </w:r>
          </w:p>
        </w:tc>
        <w:tc>
          <w:tcPr>
            <w:tcW w:w="1050" w:type="pct"/>
            <w:vMerge w:val="restart"/>
            <w:shd w:val="clear" w:color="auto" w:fill="auto"/>
            <w:vAlign w:val="center"/>
          </w:tcPr>
          <w:p w14:paraId="5161E17A">
            <w:pPr>
              <w:adjustRightInd w:val="0"/>
              <w:snapToGrid w:val="0"/>
            </w:pPr>
            <w:r>
              <w:rPr>
                <w:rFonts w:hint="eastAsia" w:hAnsi="宋体" w:cs="宋体"/>
                <w:kern w:val="0"/>
                <w:sz w:val="21"/>
                <w:szCs w:val="21"/>
              </w:rPr>
              <w:t>网络祭扫平台存在违反《殡葬管理条例》第四十五条规定的、属于民政部门监管职责范围内的行为</w:t>
            </w:r>
          </w:p>
        </w:tc>
        <w:tc>
          <w:tcPr>
            <w:tcW w:w="939" w:type="pct"/>
            <w:vMerge w:val="restart"/>
            <w:shd w:val="clear" w:color="auto" w:fill="auto"/>
            <w:vAlign w:val="center"/>
          </w:tcPr>
          <w:p w14:paraId="0F392558">
            <w:pPr>
              <w:adjustRightInd w:val="0"/>
              <w:snapToGrid w:val="0"/>
              <w:rPr>
                <w:rFonts w:hAnsi="宋体" w:cs="宋体"/>
                <w:kern w:val="0"/>
                <w:sz w:val="21"/>
                <w:szCs w:val="21"/>
              </w:rPr>
            </w:pPr>
            <w:r>
              <w:rPr>
                <w:rFonts w:hint="eastAsia" w:hAnsi="宋体" w:cs="宋体"/>
                <w:kern w:val="0"/>
                <w:sz w:val="21"/>
                <w:szCs w:val="21"/>
              </w:rPr>
              <w:t>《殡葬管理条例》</w:t>
            </w:r>
          </w:p>
          <w:p w14:paraId="48D5A403">
            <w:pPr>
              <w:adjustRightInd w:val="0"/>
              <w:snapToGrid w:val="0"/>
              <w:ind w:firstLine="420" w:firstLineChars="200"/>
              <w:rPr>
                <w:rFonts w:hAnsi="宋体" w:cs="宋体"/>
                <w:kern w:val="0"/>
                <w:sz w:val="21"/>
                <w:szCs w:val="21"/>
              </w:rPr>
            </w:pPr>
            <w:r>
              <w:rPr>
                <w:rFonts w:hint="eastAsia" w:hAnsi="宋体" w:cs="宋体"/>
                <w:kern w:val="0"/>
                <w:sz w:val="21"/>
                <w:szCs w:val="21"/>
              </w:rPr>
              <w:t>第四十五条：国家倡导文明、低碳、安全祭扫。</w:t>
            </w:r>
          </w:p>
          <w:p w14:paraId="476CEAD0">
            <w:pPr>
              <w:adjustRightInd w:val="0"/>
              <w:snapToGrid w:val="0"/>
              <w:ind w:firstLine="420" w:firstLineChars="200"/>
            </w:pPr>
            <w:r>
              <w:rPr>
                <w:rFonts w:hint="eastAsia" w:hAnsi="宋体" w:cs="宋体"/>
                <w:kern w:val="0"/>
                <w:sz w:val="21"/>
                <w:szCs w:val="21"/>
              </w:rPr>
              <w:t>网络祭扫服务平台应当遵守法律法规，遵循公序良俗，加强逝者信息保护，不得诱导消费，不得违法违规处理逝者信息或者发布、传播法律法规禁止的信息。</w:t>
            </w:r>
          </w:p>
        </w:tc>
        <w:tc>
          <w:tcPr>
            <w:tcW w:w="929" w:type="pct"/>
            <w:vMerge w:val="restart"/>
            <w:shd w:val="clear" w:color="auto" w:fill="auto"/>
            <w:vAlign w:val="center"/>
          </w:tcPr>
          <w:p w14:paraId="3463016F">
            <w:pPr>
              <w:adjustRightInd w:val="0"/>
              <w:snapToGrid w:val="0"/>
              <w:rPr>
                <w:rFonts w:hAnsi="宋体" w:cs="宋体"/>
                <w:kern w:val="0"/>
                <w:sz w:val="21"/>
                <w:szCs w:val="21"/>
              </w:rPr>
            </w:pPr>
            <w:r>
              <w:rPr>
                <w:rFonts w:hint="eastAsia" w:hAnsi="宋体" w:cs="宋体"/>
                <w:kern w:val="0"/>
                <w:sz w:val="21"/>
                <w:szCs w:val="21"/>
              </w:rPr>
              <w:t>《殡葬管理条例》</w:t>
            </w:r>
          </w:p>
          <w:p w14:paraId="4C574E2C">
            <w:pPr>
              <w:adjustRightInd w:val="0"/>
              <w:snapToGrid w:val="0"/>
              <w:ind w:firstLine="420" w:firstLineChars="200"/>
            </w:pPr>
            <w:r>
              <w:rPr>
                <w:rFonts w:hint="eastAsia" w:hAnsi="宋体" w:cs="宋体"/>
                <w:kern w:val="0"/>
                <w:sz w:val="21"/>
                <w:szCs w:val="21"/>
              </w:rPr>
              <w:t>第六十九条：网络祭扫服务平台违反本条例规定的，由县级以上地方人民政府民政、公安、网信、电信等部门依照职责责令改正，给予警告；拒不改正或者情节严重的，处10万元以上30万元以下的罚款，并可责令停业整顿、予以关闭。</w:t>
            </w:r>
          </w:p>
        </w:tc>
        <w:tc>
          <w:tcPr>
            <w:tcW w:w="237" w:type="pct"/>
            <w:shd w:val="clear" w:color="auto" w:fill="auto"/>
            <w:noWrap/>
            <w:vAlign w:val="center"/>
          </w:tcPr>
          <w:p w14:paraId="509CFA76">
            <w:pPr>
              <w:adjustRightInd w:val="0"/>
              <w:snapToGrid w:val="0"/>
              <w:jc w:val="center"/>
              <w:rPr>
                <w:rFonts w:hAnsi="宋体" w:cs="宋体"/>
                <w:kern w:val="0"/>
                <w:sz w:val="21"/>
                <w:szCs w:val="21"/>
              </w:rPr>
            </w:pPr>
            <w:r>
              <w:rPr>
                <w:rFonts w:hint="eastAsia" w:hAnsi="宋体" w:cs="宋体"/>
                <w:kern w:val="0"/>
                <w:sz w:val="21"/>
                <w:szCs w:val="21"/>
              </w:rPr>
              <w:t>从轻处罚</w:t>
            </w:r>
          </w:p>
        </w:tc>
        <w:tc>
          <w:tcPr>
            <w:tcW w:w="1028" w:type="pct"/>
            <w:shd w:val="clear" w:color="auto" w:fill="auto"/>
            <w:noWrap/>
            <w:vAlign w:val="center"/>
          </w:tcPr>
          <w:p w14:paraId="7175A282">
            <w:pPr>
              <w:adjustRightInd w:val="0"/>
              <w:snapToGrid w:val="0"/>
              <w:rPr>
                <w:rFonts w:hAnsi="宋体" w:cs="宋体"/>
                <w:kern w:val="0"/>
                <w:sz w:val="21"/>
                <w:szCs w:val="21"/>
              </w:rPr>
            </w:pPr>
            <w:r>
              <w:rPr>
                <w:rFonts w:hint="eastAsia" w:hAnsi="宋体" w:cs="宋体"/>
                <w:kern w:val="0"/>
                <w:sz w:val="21"/>
                <w:szCs w:val="21"/>
              </w:rPr>
              <w:t>网络祭扫平台存在违反《殡葬管理条例》第四十五条规定的、属于民政部门监管职责范围内的行为，造成影响较小；或者具有其他情节较轻情形的。</w:t>
            </w:r>
          </w:p>
        </w:tc>
        <w:tc>
          <w:tcPr>
            <w:tcW w:w="612" w:type="pct"/>
            <w:shd w:val="clear" w:color="auto" w:fill="auto"/>
            <w:noWrap/>
            <w:vAlign w:val="center"/>
          </w:tcPr>
          <w:p w14:paraId="4D6FDA3F">
            <w:pPr>
              <w:adjustRightInd w:val="0"/>
              <w:snapToGrid w:val="0"/>
              <w:rPr>
                <w:rFonts w:hAnsi="宋体" w:cs="宋体"/>
                <w:kern w:val="0"/>
                <w:sz w:val="21"/>
                <w:szCs w:val="21"/>
              </w:rPr>
            </w:pPr>
            <w:r>
              <w:rPr>
                <w:rFonts w:hint="eastAsia" w:hAnsi="宋体" w:cs="宋体"/>
                <w:kern w:val="0"/>
                <w:sz w:val="21"/>
                <w:szCs w:val="21"/>
              </w:rPr>
              <w:t>警告。</w:t>
            </w:r>
          </w:p>
        </w:tc>
      </w:tr>
      <w:tr w14:paraId="4C902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06" w:hRule="atLeast"/>
          <w:jc w:val="center"/>
        </w:trPr>
        <w:tc>
          <w:tcPr>
            <w:tcW w:w="201" w:type="pct"/>
            <w:gridSpan w:val="2"/>
            <w:vMerge w:val="continue"/>
            <w:shd w:val="clear" w:color="auto" w:fill="auto"/>
            <w:vAlign w:val="center"/>
          </w:tcPr>
          <w:p w14:paraId="15812EF2">
            <w:pPr>
              <w:adjustRightInd w:val="0"/>
              <w:snapToGrid w:val="0"/>
            </w:pPr>
          </w:p>
        </w:tc>
        <w:tc>
          <w:tcPr>
            <w:tcW w:w="1050" w:type="pct"/>
            <w:vMerge w:val="continue"/>
            <w:shd w:val="clear" w:color="auto" w:fill="auto"/>
            <w:vAlign w:val="center"/>
          </w:tcPr>
          <w:p w14:paraId="0E4023FF">
            <w:pPr>
              <w:adjustRightInd w:val="0"/>
              <w:snapToGrid w:val="0"/>
            </w:pPr>
          </w:p>
        </w:tc>
        <w:tc>
          <w:tcPr>
            <w:tcW w:w="939" w:type="pct"/>
            <w:vMerge w:val="continue"/>
            <w:shd w:val="clear" w:color="auto" w:fill="auto"/>
            <w:vAlign w:val="center"/>
          </w:tcPr>
          <w:p w14:paraId="5C0D6D8F">
            <w:pPr>
              <w:adjustRightInd w:val="0"/>
              <w:snapToGrid w:val="0"/>
            </w:pPr>
          </w:p>
        </w:tc>
        <w:tc>
          <w:tcPr>
            <w:tcW w:w="929" w:type="pct"/>
            <w:vMerge w:val="continue"/>
            <w:shd w:val="clear" w:color="auto" w:fill="auto"/>
            <w:vAlign w:val="center"/>
          </w:tcPr>
          <w:p w14:paraId="7FF30089">
            <w:pPr>
              <w:adjustRightInd w:val="0"/>
              <w:snapToGrid w:val="0"/>
            </w:pPr>
          </w:p>
        </w:tc>
        <w:tc>
          <w:tcPr>
            <w:tcW w:w="237" w:type="pct"/>
            <w:shd w:val="clear" w:color="auto" w:fill="auto"/>
            <w:noWrap/>
            <w:vAlign w:val="center"/>
          </w:tcPr>
          <w:p w14:paraId="013B99ED">
            <w:pPr>
              <w:adjustRightInd w:val="0"/>
              <w:snapToGrid w:val="0"/>
              <w:jc w:val="center"/>
              <w:rPr>
                <w:rFonts w:hAnsi="宋体" w:cs="宋体"/>
                <w:kern w:val="0"/>
                <w:sz w:val="21"/>
                <w:szCs w:val="21"/>
              </w:rPr>
            </w:pPr>
            <w:r>
              <w:rPr>
                <w:rFonts w:hint="eastAsia" w:hAnsi="宋体" w:cs="宋体"/>
                <w:kern w:val="0"/>
                <w:sz w:val="21"/>
                <w:szCs w:val="21"/>
              </w:rPr>
              <w:t>一般处罚</w:t>
            </w:r>
          </w:p>
        </w:tc>
        <w:tc>
          <w:tcPr>
            <w:tcW w:w="1028" w:type="pct"/>
            <w:shd w:val="clear" w:color="auto" w:fill="auto"/>
            <w:noWrap/>
            <w:vAlign w:val="center"/>
          </w:tcPr>
          <w:p w14:paraId="11F66CE9">
            <w:pPr>
              <w:adjustRightInd w:val="0"/>
              <w:snapToGrid w:val="0"/>
              <w:rPr>
                <w:rFonts w:hAnsi="宋体" w:cs="宋体"/>
                <w:kern w:val="0"/>
                <w:sz w:val="21"/>
                <w:szCs w:val="21"/>
              </w:rPr>
            </w:pPr>
            <w:r>
              <w:rPr>
                <w:rFonts w:hint="eastAsia" w:hAnsi="宋体" w:cs="宋体"/>
                <w:kern w:val="0"/>
                <w:sz w:val="21"/>
                <w:szCs w:val="21"/>
              </w:rPr>
              <w:t>网络祭扫平台存在违反《殡葬管理条例》第四十五条规定的、属于民政部门监管职责范围内的行为，拒不改正，造成影响较大；或者具有其他情节较重情形的。</w:t>
            </w:r>
          </w:p>
        </w:tc>
        <w:tc>
          <w:tcPr>
            <w:tcW w:w="612" w:type="pct"/>
            <w:shd w:val="clear" w:color="auto" w:fill="auto"/>
            <w:noWrap/>
            <w:vAlign w:val="center"/>
          </w:tcPr>
          <w:p w14:paraId="176858DD">
            <w:pPr>
              <w:adjustRightInd w:val="0"/>
              <w:snapToGrid w:val="0"/>
              <w:rPr>
                <w:rFonts w:hAnsi="宋体" w:cs="宋体"/>
                <w:kern w:val="0"/>
                <w:sz w:val="21"/>
                <w:szCs w:val="21"/>
              </w:rPr>
            </w:pPr>
            <w:r>
              <w:rPr>
                <w:rFonts w:hint="eastAsia" w:hAnsi="宋体" w:cs="宋体"/>
                <w:kern w:val="0"/>
                <w:sz w:val="21"/>
                <w:szCs w:val="21"/>
              </w:rPr>
              <w:t>警告，处10万元以上不超过20万元的罚款。</w:t>
            </w:r>
          </w:p>
        </w:tc>
      </w:tr>
      <w:tr w14:paraId="76EA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06" w:hRule="atLeast"/>
          <w:jc w:val="center"/>
        </w:trPr>
        <w:tc>
          <w:tcPr>
            <w:tcW w:w="201" w:type="pct"/>
            <w:gridSpan w:val="2"/>
            <w:vMerge w:val="continue"/>
            <w:shd w:val="clear" w:color="auto" w:fill="auto"/>
            <w:vAlign w:val="center"/>
          </w:tcPr>
          <w:p w14:paraId="4CF53928">
            <w:pPr>
              <w:adjustRightInd w:val="0"/>
              <w:snapToGrid w:val="0"/>
              <w:rPr>
                <w:rFonts w:hAnsi="宋体" w:cs="宋体"/>
                <w:color w:val="000000"/>
                <w:kern w:val="0"/>
                <w:sz w:val="21"/>
                <w:szCs w:val="21"/>
              </w:rPr>
            </w:pPr>
          </w:p>
        </w:tc>
        <w:tc>
          <w:tcPr>
            <w:tcW w:w="1050" w:type="pct"/>
            <w:vMerge w:val="continue"/>
            <w:shd w:val="clear" w:color="auto" w:fill="auto"/>
            <w:vAlign w:val="center"/>
          </w:tcPr>
          <w:p w14:paraId="1380E5EE">
            <w:pPr>
              <w:adjustRightInd w:val="0"/>
              <w:snapToGrid w:val="0"/>
              <w:rPr>
                <w:rFonts w:hAnsi="宋体" w:cs="宋体"/>
                <w:color w:val="000000"/>
                <w:kern w:val="0"/>
                <w:sz w:val="21"/>
                <w:szCs w:val="21"/>
              </w:rPr>
            </w:pPr>
          </w:p>
        </w:tc>
        <w:tc>
          <w:tcPr>
            <w:tcW w:w="939" w:type="pct"/>
            <w:vMerge w:val="continue"/>
            <w:shd w:val="clear" w:color="auto" w:fill="auto"/>
            <w:vAlign w:val="center"/>
          </w:tcPr>
          <w:p w14:paraId="2C757AC1">
            <w:pPr>
              <w:adjustRightInd w:val="0"/>
              <w:snapToGrid w:val="0"/>
              <w:rPr>
                <w:rFonts w:hAnsi="宋体" w:cs="宋体"/>
                <w:color w:val="000000"/>
                <w:kern w:val="0"/>
                <w:sz w:val="21"/>
                <w:szCs w:val="21"/>
              </w:rPr>
            </w:pPr>
          </w:p>
        </w:tc>
        <w:tc>
          <w:tcPr>
            <w:tcW w:w="929" w:type="pct"/>
            <w:vMerge w:val="continue"/>
            <w:shd w:val="clear" w:color="auto" w:fill="auto"/>
            <w:vAlign w:val="center"/>
          </w:tcPr>
          <w:p w14:paraId="385D9960">
            <w:pPr>
              <w:adjustRightInd w:val="0"/>
              <w:snapToGrid w:val="0"/>
              <w:rPr>
                <w:rFonts w:hAnsi="宋体" w:cs="宋体"/>
                <w:color w:val="000000"/>
                <w:kern w:val="0"/>
                <w:sz w:val="21"/>
                <w:szCs w:val="21"/>
              </w:rPr>
            </w:pPr>
          </w:p>
        </w:tc>
        <w:tc>
          <w:tcPr>
            <w:tcW w:w="237" w:type="pct"/>
            <w:shd w:val="clear" w:color="auto" w:fill="auto"/>
            <w:noWrap/>
            <w:vAlign w:val="center"/>
          </w:tcPr>
          <w:p w14:paraId="67C3AE6C">
            <w:pPr>
              <w:adjustRightInd w:val="0"/>
              <w:snapToGrid w:val="0"/>
              <w:jc w:val="center"/>
              <w:rPr>
                <w:rFonts w:hAnsi="宋体" w:cs="宋体"/>
                <w:kern w:val="0"/>
                <w:sz w:val="21"/>
                <w:szCs w:val="21"/>
              </w:rPr>
            </w:pPr>
            <w:r>
              <w:rPr>
                <w:rFonts w:hint="eastAsia" w:hAnsi="宋体" w:cs="宋体"/>
                <w:kern w:val="0"/>
                <w:sz w:val="21"/>
                <w:szCs w:val="21"/>
              </w:rPr>
              <w:t>从重处罚</w:t>
            </w:r>
          </w:p>
        </w:tc>
        <w:tc>
          <w:tcPr>
            <w:tcW w:w="1028" w:type="pct"/>
            <w:shd w:val="clear" w:color="auto" w:fill="auto"/>
            <w:noWrap/>
            <w:vAlign w:val="center"/>
          </w:tcPr>
          <w:p w14:paraId="309C0952">
            <w:pPr>
              <w:adjustRightInd w:val="0"/>
              <w:snapToGrid w:val="0"/>
              <w:rPr>
                <w:rFonts w:hAnsi="宋体" w:cs="宋体"/>
                <w:kern w:val="0"/>
                <w:sz w:val="21"/>
                <w:szCs w:val="21"/>
              </w:rPr>
            </w:pPr>
            <w:r>
              <w:rPr>
                <w:rFonts w:hint="eastAsia" w:hAnsi="宋体" w:cs="宋体"/>
                <w:kern w:val="0"/>
                <w:sz w:val="21"/>
                <w:szCs w:val="21"/>
              </w:rPr>
              <w:t>网络祭扫平台存在违反《殡葬管理条例》第四十五条规定的、属于民政部门监管职责范围内的行为，拒不改正，造成严重影响；或者具有其他情节严重情形的。</w:t>
            </w:r>
          </w:p>
        </w:tc>
        <w:tc>
          <w:tcPr>
            <w:tcW w:w="612" w:type="pct"/>
            <w:shd w:val="clear" w:color="auto" w:fill="auto"/>
            <w:noWrap/>
            <w:vAlign w:val="center"/>
          </w:tcPr>
          <w:p w14:paraId="1CC68512">
            <w:pPr>
              <w:adjustRightInd w:val="0"/>
              <w:snapToGrid w:val="0"/>
              <w:rPr>
                <w:rFonts w:hAnsi="宋体" w:cs="宋体"/>
                <w:kern w:val="0"/>
                <w:sz w:val="21"/>
                <w:szCs w:val="21"/>
              </w:rPr>
            </w:pPr>
            <w:r>
              <w:rPr>
                <w:rFonts w:hint="eastAsia" w:hAnsi="宋体" w:cs="宋体"/>
                <w:kern w:val="0"/>
                <w:sz w:val="21"/>
                <w:szCs w:val="21"/>
              </w:rPr>
              <w:t>警告，处20万元以上30万元以下罚款。</w:t>
            </w:r>
          </w:p>
        </w:tc>
      </w:tr>
      <w:tr w14:paraId="55BB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exact"/>
          <w:jc w:val="center"/>
        </w:trPr>
        <w:tc>
          <w:tcPr>
            <w:tcW w:w="5000" w:type="pct"/>
            <w:gridSpan w:val="8"/>
            <w:noWrap/>
            <w:vAlign w:val="center"/>
          </w:tcPr>
          <w:p w14:paraId="5E2488BF">
            <w:pPr>
              <w:adjustRightInd w:val="0"/>
              <w:snapToGrid w:val="0"/>
              <w:rPr>
                <w:rFonts w:ascii="黑体" w:hAnsi="黑体" w:eastAsia="黑体" w:cs="宋体"/>
                <w:color w:val="000000" w:themeColor="text1"/>
                <w:kern w:val="0"/>
                <w:sz w:val="21"/>
                <w:szCs w:val="21"/>
                <w14:textFill>
                  <w14:solidFill>
                    <w14:schemeClr w14:val="tx1"/>
                  </w14:solidFill>
                </w14:textFill>
              </w:rPr>
            </w:pPr>
            <w:r>
              <w:rPr>
                <w:rFonts w:hint="eastAsia" w:ascii="黑体" w:hAnsi="黑体" w:eastAsia="黑体" w:cs="宋体"/>
                <w:color w:val="000000" w:themeColor="text1"/>
                <w:kern w:val="0"/>
                <w:sz w:val="21"/>
                <w:szCs w:val="21"/>
                <w14:textFill>
                  <w14:solidFill>
                    <w14:schemeClr w14:val="tx1"/>
                  </w14:solidFill>
                </w14:textFill>
              </w:rPr>
              <w:t>十一、养老服务工作</w:t>
            </w:r>
          </w:p>
        </w:tc>
      </w:tr>
      <w:tr w14:paraId="49B2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711" w:hRule="atLeast"/>
          <w:jc w:val="center"/>
        </w:trPr>
        <w:tc>
          <w:tcPr>
            <w:tcW w:w="201" w:type="pct"/>
            <w:gridSpan w:val="2"/>
            <w:noWrap/>
            <w:vAlign w:val="center"/>
          </w:tcPr>
          <w:p w14:paraId="0A5C592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111</w:t>
            </w:r>
          </w:p>
        </w:tc>
        <w:tc>
          <w:tcPr>
            <w:tcW w:w="1050" w:type="pct"/>
            <w:noWrap/>
            <w:vAlign w:val="center"/>
          </w:tcPr>
          <w:p w14:paraId="5794FED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养老机构未建立入院评估制度或者未按照规定开展评估活动。</w:t>
            </w:r>
          </w:p>
        </w:tc>
        <w:tc>
          <w:tcPr>
            <w:tcW w:w="939" w:type="pct"/>
            <w:noWrap/>
            <w:vAlign w:val="center"/>
          </w:tcPr>
          <w:p w14:paraId="5862D86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《养老机构管理办法》第十五条：养老机构应当建立入院评估制度，对老年人的身心状况进行评估，并根据评估结果确定照料护理等级。</w:t>
            </w:r>
          </w:p>
          <w:p w14:paraId="7CCB207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老年人身心状况发生变化，需要变更照料护理等级的，养老机构应当重新进行评估。</w:t>
            </w:r>
          </w:p>
          <w:p w14:paraId="6B7F594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养老机构确定或者变更老年人照料护理等级，应当经老年人或者其代理人同意。</w:t>
            </w:r>
          </w:p>
        </w:tc>
        <w:tc>
          <w:tcPr>
            <w:tcW w:w="929" w:type="pct"/>
            <w:noWrap/>
            <w:vAlign w:val="center"/>
          </w:tcPr>
          <w:p w14:paraId="78DFA15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《养老机构管理办法》第四十六条第一款：养老机构有下列行为之一的，由民政部门责令改正，给予警告；情节严重的，处以3万元以下的罚款：</w:t>
            </w:r>
          </w:p>
          <w:p w14:paraId="23F5A96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（一）未建立入院评估制度或者未按照规定开展评估活动的；</w:t>
            </w:r>
          </w:p>
          <w:p w14:paraId="3CE5394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42F96D6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7EF4E729">
            <w:pPr>
              <w:adjustRightInd w:val="0"/>
              <w:snapToGrid w:val="0"/>
              <w:rPr>
                <w:rFonts w:hAnsi="宋体" w:cs="宋体"/>
                <w:kern w:val="0"/>
                <w:sz w:val="21"/>
                <w:szCs w:val="21"/>
              </w:rPr>
            </w:pPr>
            <w:r>
              <w:rPr>
                <w:rFonts w:hint="eastAsia" w:hAnsi="宋体" w:cs="宋体"/>
                <w:kern w:val="0"/>
                <w:sz w:val="21"/>
                <w:szCs w:val="21"/>
              </w:rPr>
              <w:t>具有以下情形之一：</w:t>
            </w:r>
          </w:p>
          <w:p w14:paraId="65C9F8A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1.养老机构未建立入院评估制度开业运营不超过3个月；</w:t>
            </w:r>
          </w:p>
          <w:p w14:paraId="34C2250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2.建立入院评估制度，但未按照国家标准《老年人能力评估规范》（GB/T42195-2022）规范开展评估，涉及人数占入住老年人数10%以下或者不超过5人，未造成不良后果或者后果轻微。</w:t>
            </w:r>
          </w:p>
        </w:tc>
        <w:tc>
          <w:tcPr>
            <w:tcW w:w="612" w:type="pct"/>
            <w:noWrap/>
            <w:vAlign w:val="center"/>
          </w:tcPr>
          <w:p w14:paraId="68E0D69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警告并责令改正。</w:t>
            </w:r>
          </w:p>
        </w:tc>
      </w:tr>
      <w:tr w14:paraId="0459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201" w:type="pct"/>
            <w:gridSpan w:val="2"/>
            <w:vMerge w:val="restart"/>
            <w:vAlign w:val="center"/>
          </w:tcPr>
          <w:p w14:paraId="0C08531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111</w:t>
            </w:r>
          </w:p>
        </w:tc>
        <w:tc>
          <w:tcPr>
            <w:tcW w:w="1050" w:type="pct"/>
            <w:vMerge w:val="restart"/>
            <w:vAlign w:val="center"/>
          </w:tcPr>
          <w:p w14:paraId="7A8F1DC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养老机构未建立入院评估制度或者未按照规定开展评估活动。</w:t>
            </w:r>
          </w:p>
        </w:tc>
        <w:tc>
          <w:tcPr>
            <w:tcW w:w="939" w:type="pct"/>
            <w:vMerge w:val="restart"/>
            <w:vAlign w:val="center"/>
          </w:tcPr>
          <w:p w14:paraId="20B3EEC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《养老机构管理办法》第十五条：养老机构应当建立入院评估制度，对老年人的身心状况进行评估，并根据评估结果确定照料护理等级。</w:t>
            </w:r>
          </w:p>
          <w:p w14:paraId="3262E39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老年人身心状况发生变化，需要变更照料护理等级的，养老机构应当重新进行评估。</w:t>
            </w:r>
          </w:p>
          <w:p w14:paraId="6FDB376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养老机构确定或者变更老年人照料护理等级，应当经老年人或者其代理人同意。</w:t>
            </w:r>
          </w:p>
        </w:tc>
        <w:tc>
          <w:tcPr>
            <w:tcW w:w="929" w:type="pct"/>
            <w:vMerge w:val="restart"/>
            <w:vAlign w:val="center"/>
          </w:tcPr>
          <w:p w14:paraId="3F129F9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《养老机构管理办法》第四十六条第一款：养老机构有下列行为之一的，由民政部门责令改正，给予警告；情节严重的，处以3万元以下的罚款：</w:t>
            </w:r>
          </w:p>
          <w:p w14:paraId="3758895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（一）未建立入院评估制度或者未按照规定开展评估活动的；</w:t>
            </w:r>
          </w:p>
          <w:p w14:paraId="3793A0D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05369E9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5D8C467A">
            <w:pPr>
              <w:adjustRightInd w:val="0"/>
              <w:snapToGrid w:val="0"/>
              <w:rPr>
                <w:rFonts w:hAnsi="宋体" w:cs="宋体"/>
                <w:kern w:val="0"/>
                <w:sz w:val="21"/>
                <w:szCs w:val="21"/>
              </w:rPr>
            </w:pPr>
            <w:r>
              <w:rPr>
                <w:rFonts w:hint="eastAsia" w:hAnsi="宋体" w:cs="宋体"/>
                <w:kern w:val="0"/>
                <w:sz w:val="21"/>
                <w:szCs w:val="21"/>
              </w:rPr>
              <w:t>具有以下情形之一：</w:t>
            </w:r>
          </w:p>
          <w:p w14:paraId="0073858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1.养老机构未建立入院评估制度开业运营3个月以上不超过6个月；</w:t>
            </w:r>
          </w:p>
          <w:p w14:paraId="6DF3025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2.建立入院评估制度，但未按照国家标准《老年人能力评估规范》（GB/T42195-2022）规范开展评估，涉及人数占入住老年人数10%以上不超过30%，或者5人以上不超过20人；</w:t>
            </w:r>
          </w:p>
          <w:p w14:paraId="5124753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3.经责令改正后拒不改正。</w:t>
            </w:r>
          </w:p>
        </w:tc>
        <w:tc>
          <w:tcPr>
            <w:tcW w:w="612" w:type="pct"/>
            <w:noWrap/>
            <w:vAlign w:val="center"/>
          </w:tcPr>
          <w:p w14:paraId="3525BED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处不超过一万元罚款。</w:t>
            </w:r>
          </w:p>
        </w:tc>
      </w:tr>
      <w:tr w14:paraId="5EC7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201" w:type="pct"/>
            <w:gridSpan w:val="2"/>
            <w:vMerge w:val="continue"/>
            <w:vAlign w:val="center"/>
          </w:tcPr>
          <w:p w14:paraId="3437F43C">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210BA2B1">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649ED4C7">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F000EE5">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E8867F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3BD58D01">
            <w:pPr>
              <w:adjustRightInd w:val="0"/>
              <w:snapToGrid w:val="0"/>
              <w:rPr>
                <w:rFonts w:hAnsi="宋体" w:cs="宋体"/>
                <w:kern w:val="0"/>
                <w:sz w:val="21"/>
                <w:szCs w:val="21"/>
              </w:rPr>
            </w:pPr>
            <w:r>
              <w:rPr>
                <w:rFonts w:hint="eastAsia" w:hAnsi="宋体" w:cs="宋体"/>
                <w:kern w:val="0"/>
                <w:sz w:val="21"/>
                <w:szCs w:val="21"/>
              </w:rPr>
              <w:t>具有以下情形之一：</w:t>
            </w:r>
          </w:p>
          <w:p w14:paraId="093078D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1.养老机构未建立入院评估制度开业运营6个月以上；</w:t>
            </w:r>
          </w:p>
          <w:p w14:paraId="08DF018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2.建立入院评估制度，但未按照国家标准《老年人能力评估规范》（GB/T42195-2022）规范开展评估，涉及人数占入住老年人数30%以上或者20人以上；</w:t>
            </w:r>
          </w:p>
          <w:p w14:paraId="4547AF3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3.一年内累计有2次以上违法行为。</w:t>
            </w:r>
          </w:p>
        </w:tc>
        <w:tc>
          <w:tcPr>
            <w:tcW w:w="612" w:type="pct"/>
            <w:noWrap/>
            <w:vAlign w:val="center"/>
          </w:tcPr>
          <w:p w14:paraId="7C4F8EB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处一万元以上三万元以下罚款。</w:t>
            </w:r>
          </w:p>
        </w:tc>
      </w:tr>
      <w:tr w14:paraId="039E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201" w:type="pct"/>
            <w:gridSpan w:val="2"/>
            <w:vMerge w:val="restart"/>
            <w:noWrap/>
            <w:vAlign w:val="center"/>
          </w:tcPr>
          <w:p w14:paraId="72CF899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112</w:t>
            </w:r>
          </w:p>
        </w:tc>
        <w:tc>
          <w:tcPr>
            <w:tcW w:w="1050" w:type="pct"/>
            <w:vMerge w:val="restart"/>
            <w:noWrap/>
            <w:vAlign w:val="center"/>
          </w:tcPr>
          <w:p w14:paraId="3D20959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养老机构配备人员的资格不符合规定。</w:t>
            </w:r>
          </w:p>
          <w:p w14:paraId="74FC6C2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具体主要有：</w:t>
            </w:r>
          </w:p>
          <w:p w14:paraId="1C46748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1.养老机构中从事医疗、康复、消防等岗位的专业技术人员，未持有关部门颁发的专业技术等级证书上岗；</w:t>
            </w:r>
          </w:p>
          <w:p w14:paraId="1754AF1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2.养老护理人员未接受专业技能培训，或未经考核合格后持证上岗。</w:t>
            </w:r>
          </w:p>
          <w:p w14:paraId="15212BA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本基准所指的“资格”，是指人力资源和社会保障部发布的国家职业资格目录内的，与养老服务相关的专业技术人员资格，主要包括：医生资格、护士执业资格、卫生专业技术资格、消防等职业资格；养老护理人员培训是指按中华人民共和国人力资源和社会保障部、民政部制定的《养老护理员国家职业技能标准（2019版）》开展的培训。</w:t>
            </w:r>
          </w:p>
        </w:tc>
        <w:tc>
          <w:tcPr>
            <w:tcW w:w="939" w:type="pct"/>
            <w:vMerge w:val="restart"/>
            <w:noWrap/>
            <w:vAlign w:val="center"/>
          </w:tcPr>
          <w:p w14:paraId="549BF9A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《养老机构管理办法》第二十六条：养老机构应当配备与服务和运营相适应的工作人员，并依法与其签订聘用合同或者劳动合同，定期开展职业道德教育和业务培训。</w:t>
            </w:r>
          </w:p>
          <w:p w14:paraId="618A676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 xml:space="preserve">   养老机构中从事医疗、康复、消防等服务的人员，应当具备相应的职业资格。</w:t>
            </w:r>
          </w:p>
          <w:p w14:paraId="3A6D086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 xml:space="preserve">   养老机构应当加强对养老护理人员的职业技能培训，建立健全体现职业技能等级等因素的薪酬制度</w:t>
            </w:r>
          </w:p>
        </w:tc>
        <w:tc>
          <w:tcPr>
            <w:tcW w:w="929" w:type="pct"/>
            <w:vMerge w:val="restart"/>
            <w:noWrap/>
            <w:vAlign w:val="center"/>
          </w:tcPr>
          <w:p w14:paraId="606CAD5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《养老机构管理办法》第四十六条第四款：养老机构有下列行为之一的，由民政部门责令改正，给予警告；情节严重的，处以3万元以下的罚款：</w:t>
            </w:r>
          </w:p>
          <w:p w14:paraId="47F710D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0333273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（四）工作人员的资格不符合规定的；</w:t>
            </w:r>
          </w:p>
          <w:p w14:paraId="62C368B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73BAA75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7C41024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配备不符合规定的服务人员数量占工作人员总数10%以下或不超过5人。</w:t>
            </w:r>
          </w:p>
        </w:tc>
        <w:tc>
          <w:tcPr>
            <w:tcW w:w="612" w:type="pct"/>
            <w:noWrap/>
            <w:vAlign w:val="center"/>
          </w:tcPr>
          <w:p w14:paraId="64EC225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76D11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201" w:type="pct"/>
            <w:gridSpan w:val="2"/>
            <w:vMerge w:val="continue"/>
            <w:vAlign w:val="center"/>
          </w:tcPr>
          <w:p w14:paraId="2AE09C31">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79084A17">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455DC915">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EB2603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A3D985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19E45D65">
            <w:pPr>
              <w:adjustRightInd w:val="0"/>
              <w:snapToGrid w:val="0"/>
              <w:rPr>
                <w:rFonts w:hAnsi="宋体" w:cs="宋体"/>
                <w:kern w:val="0"/>
                <w:sz w:val="21"/>
                <w:szCs w:val="21"/>
              </w:rPr>
            </w:pPr>
            <w:r>
              <w:rPr>
                <w:rFonts w:hint="eastAsia" w:hAnsi="宋体" w:cs="宋体"/>
                <w:kern w:val="0"/>
                <w:sz w:val="21"/>
                <w:szCs w:val="21"/>
              </w:rPr>
              <w:t>具有以下情形之一：</w:t>
            </w:r>
          </w:p>
          <w:p w14:paraId="55645CD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1.配备不符合规定的服务人员数量占工作人员总数10%以上不超过30%，或者5人以上不超过20人，未造成不良后果；</w:t>
            </w:r>
          </w:p>
          <w:p w14:paraId="6AEA532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2.经责令改正后拒不改正。</w:t>
            </w:r>
          </w:p>
        </w:tc>
        <w:tc>
          <w:tcPr>
            <w:tcW w:w="612" w:type="pct"/>
            <w:noWrap/>
            <w:vAlign w:val="center"/>
          </w:tcPr>
          <w:p w14:paraId="6E67028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处不超过一万元罚款。</w:t>
            </w:r>
          </w:p>
        </w:tc>
      </w:tr>
      <w:tr w14:paraId="309BC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201" w:type="pct"/>
            <w:gridSpan w:val="2"/>
            <w:vMerge w:val="continue"/>
            <w:vAlign w:val="center"/>
          </w:tcPr>
          <w:p w14:paraId="0C04D7E1">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4B63442E">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5FE3FF52">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F920A0E">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6017371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03227EBD">
            <w:pPr>
              <w:adjustRightInd w:val="0"/>
              <w:snapToGrid w:val="0"/>
              <w:rPr>
                <w:rFonts w:hAnsi="宋体" w:cs="宋体"/>
                <w:kern w:val="0"/>
                <w:sz w:val="21"/>
                <w:szCs w:val="21"/>
              </w:rPr>
            </w:pPr>
            <w:r>
              <w:rPr>
                <w:rFonts w:hint="eastAsia" w:hAnsi="宋体" w:cs="宋体"/>
                <w:kern w:val="0"/>
                <w:sz w:val="21"/>
                <w:szCs w:val="21"/>
              </w:rPr>
              <w:t>具有以下情形之一：</w:t>
            </w:r>
          </w:p>
          <w:p w14:paraId="443CE14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1.配备不符合规定的服务人员数量30%以上或20人以上；</w:t>
            </w:r>
          </w:p>
          <w:p w14:paraId="10DBE45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2.一年内累计有2次以上违法行为。</w:t>
            </w:r>
          </w:p>
        </w:tc>
        <w:tc>
          <w:tcPr>
            <w:tcW w:w="612" w:type="pct"/>
            <w:noWrap/>
            <w:vAlign w:val="center"/>
          </w:tcPr>
          <w:p w14:paraId="2343F1C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处一万元以上三万元以下罚款。</w:t>
            </w:r>
          </w:p>
        </w:tc>
      </w:tr>
      <w:tr w14:paraId="50EC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201" w:type="pct"/>
            <w:gridSpan w:val="2"/>
            <w:vMerge w:val="restart"/>
            <w:noWrap/>
            <w:vAlign w:val="center"/>
          </w:tcPr>
          <w:p w14:paraId="12B53A3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113</w:t>
            </w:r>
          </w:p>
        </w:tc>
        <w:tc>
          <w:tcPr>
            <w:tcW w:w="1050" w:type="pct"/>
            <w:vMerge w:val="restart"/>
            <w:noWrap/>
            <w:vAlign w:val="center"/>
          </w:tcPr>
          <w:p w14:paraId="563061C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养老机构未依照本办法规定预防和处置突发事件。</w:t>
            </w:r>
          </w:p>
        </w:tc>
        <w:tc>
          <w:tcPr>
            <w:tcW w:w="939" w:type="pct"/>
            <w:vMerge w:val="restart"/>
            <w:noWrap/>
            <w:vAlign w:val="center"/>
          </w:tcPr>
          <w:p w14:paraId="2BB96F1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管理办法》第三十一条：养老机构应当依法制定自然灾害、事故灾难、公共卫生事件、社会安全事件等突发事件应急预案，在场所内配备报警装置和必要的应急救援设备、设施，定期开展突发事件应急演练。</w:t>
            </w:r>
          </w:p>
          <w:p w14:paraId="057D637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 xml:space="preserve">    突发事件发生后，养老机构应当立即启动应急预案，采取防止危害扩大的必要处置措施，同时根据突发事件应对管理职责分工向有关部门和民政部门报告。</w:t>
            </w:r>
          </w:p>
          <w:p w14:paraId="4AE07EE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人，预防危害发生或者防止危害扩大，并依法向有关部门报告。</w:t>
            </w:r>
          </w:p>
        </w:tc>
        <w:tc>
          <w:tcPr>
            <w:tcW w:w="929" w:type="pct"/>
            <w:vMerge w:val="restart"/>
            <w:noWrap/>
            <w:vAlign w:val="center"/>
          </w:tcPr>
          <w:p w14:paraId="0A7B911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《养老机构管理办法》第四十六条第六款：养老机构有下列行为之一的，由民政部门责令改正，给予警告；情节严重的，处以3万元以下的罚款：</w:t>
            </w:r>
          </w:p>
          <w:p w14:paraId="7D362F0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42D2B71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（六）未依照本办法规定预防和处置突发事件的；</w:t>
            </w:r>
          </w:p>
          <w:p w14:paraId="309B18F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567AF52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3F27112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养老机构未依照本办法规定预防和处置突发事件，未造成老年人人身损害、未造成不良后果或者后果轻微。</w:t>
            </w:r>
          </w:p>
        </w:tc>
        <w:tc>
          <w:tcPr>
            <w:tcW w:w="612" w:type="pct"/>
            <w:noWrap/>
            <w:vAlign w:val="center"/>
          </w:tcPr>
          <w:p w14:paraId="4F28F4C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4F485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201" w:type="pct"/>
            <w:gridSpan w:val="2"/>
            <w:vMerge w:val="continue"/>
            <w:vAlign w:val="center"/>
          </w:tcPr>
          <w:p w14:paraId="0685655D">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7F476B4B">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42432DEE">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BED72D6">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6735647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5133AFC0">
            <w:pPr>
              <w:adjustRightInd w:val="0"/>
              <w:snapToGrid w:val="0"/>
              <w:rPr>
                <w:rFonts w:hAnsi="宋体" w:cs="宋体"/>
                <w:kern w:val="0"/>
                <w:sz w:val="21"/>
                <w:szCs w:val="21"/>
              </w:rPr>
            </w:pPr>
            <w:r>
              <w:rPr>
                <w:rFonts w:hint="eastAsia" w:hAnsi="宋体" w:cs="宋体"/>
                <w:kern w:val="0"/>
                <w:sz w:val="21"/>
                <w:szCs w:val="21"/>
              </w:rPr>
              <w:t>具有以下情形之一：</w:t>
            </w:r>
          </w:p>
          <w:p w14:paraId="3762DDA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1.养老机构未依照本办法规定预防和处置突发事件，造成老年人1人人身损害；</w:t>
            </w:r>
          </w:p>
          <w:p w14:paraId="6890CF5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2.经责令改正后拒不改正。</w:t>
            </w:r>
          </w:p>
        </w:tc>
        <w:tc>
          <w:tcPr>
            <w:tcW w:w="612" w:type="pct"/>
            <w:noWrap/>
            <w:vAlign w:val="center"/>
          </w:tcPr>
          <w:p w14:paraId="71C717B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处不超过一万元罚款。</w:t>
            </w:r>
          </w:p>
        </w:tc>
      </w:tr>
      <w:tr w14:paraId="0E3C2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201" w:type="pct"/>
            <w:gridSpan w:val="2"/>
            <w:vMerge w:val="continue"/>
            <w:vAlign w:val="center"/>
          </w:tcPr>
          <w:p w14:paraId="2B562FAF">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107CE811">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558BA96F">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1EEF686">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035CA5F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5711CDE9">
            <w:pPr>
              <w:adjustRightInd w:val="0"/>
              <w:snapToGrid w:val="0"/>
              <w:rPr>
                <w:rFonts w:hAnsi="宋体" w:cs="宋体"/>
                <w:kern w:val="0"/>
                <w:sz w:val="21"/>
                <w:szCs w:val="21"/>
              </w:rPr>
            </w:pPr>
            <w:r>
              <w:rPr>
                <w:rFonts w:hint="eastAsia" w:hAnsi="宋体" w:cs="宋体"/>
                <w:kern w:val="0"/>
                <w:sz w:val="21"/>
                <w:szCs w:val="21"/>
              </w:rPr>
              <w:t>具有以下情形之一：</w:t>
            </w:r>
          </w:p>
          <w:p w14:paraId="59C2954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1.养老机构未依照本办法规定预防和处置突发事件，造成2人以上人身损害的，或者造成老年人死亡；</w:t>
            </w:r>
          </w:p>
          <w:p w14:paraId="21AE0E8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2.一年内累计有2次以上违法行为。</w:t>
            </w:r>
          </w:p>
        </w:tc>
        <w:tc>
          <w:tcPr>
            <w:tcW w:w="612" w:type="pct"/>
            <w:noWrap/>
            <w:vAlign w:val="center"/>
          </w:tcPr>
          <w:p w14:paraId="4994478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处一万元以上三万元以下罚款。</w:t>
            </w:r>
          </w:p>
        </w:tc>
      </w:tr>
      <w:tr w14:paraId="3F0B1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201" w:type="pct"/>
            <w:gridSpan w:val="2"/>
            <w:vMerge w:val="restart"/>
            <w:noWrap/>
            <w:vAlign w:val="center"/>
          </w:tcPr>
          <w:p w14:paraId="4FB2ADC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114</w:t>
            </w:r>
          </w:p>
        </w:tc>
        <w:tc>
          <w:tcPr>
            <w:tcW w:w="1050" w:type="pct"/>
            <w:vMerge w:val="restart"/>
            <w:noWrap/>
            <w:vAlign w:val="center"/>
          </w:tcPr>
          <w:p w14:paraId="28D7B09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养老机构向负责监督检查的民政部门隐瞒有关情况、提供虚假材料或者拒绝提供反映其活动情况真实材料。</w:t>
            </w:r>
          </w:p>
          <w:p w14:paraId="31490A1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具体主要有：</w:t>
            </w:r>
          </w:p>
          <w:p w14:paraId="491401D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1.隐瞒有关情况；</w:t>
            </w:r>
          </w:p>
          <w:p w14:paraId="0156B6F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2.提供虚假材料；</w:t>
            </w:r>
          </w:p>
          <w:p w14:paraId="546E38A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3.拒绝提供反映其活动情况真实材料的。</w:t>
            </w:r>
          </w:p>
        </w:tc>
        <w:tc>
          <w:tcPr>
            <w:tcW w:w="939" w:type="pct"/>
            <w:vMerge w:val="restart"/>
            <w:noWrap/>
            <w:vAlign w:val="center"/>
          </w:tcPr>
          <w:p w14:paraId="04E30D6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《养老机构管理办法》第三十七条：民政部门依法履行监督检查职责，可以采取以下措施：</w:t>
            </w:r>
          </w:p>
          <w:p w14:paraId="263586E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（一）向养老机构和个人了解情况；</w:t>
            </w:r>
          </w:p>
          <w:p w14:paraId="721AF96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（二）进入涉嫌违法的养老机构进行现场检查；</w:t>
            </w:r>
          </w:p>
          <w:p w14:paraId="7B47CD2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（三）查阅或者复制有关合同、票据、账簿及其他有关资料；</w:t>
            </w:r>
          </w:p>
          <w:p w14:paraId="5E62687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（四）发现养老机构存在可能危及人身健康和生命财产安全风险的，责令限期改正，逾期不改正的，责令停业整顿。</w:t>
            </w:r>
          </w:p>
          <w:p w14:paraId="6A0AD86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民政部门实施监督检查时，监督检查人员不得少于2人，应当出示执法证件。</w:t>
            </w:r>
          </w:p>
          <w:p w14:paraId="430B8D1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对民政部门依法进行的监督检查，养老机构应当配合，如实提供相关资料和信息，不得隐瞒、拒绝、阻碍。</w:t>
            </w:r>
          </w:p>
        </w:tc>
        <w:tc>
          <w:tcPr>
            <w:tcW w:w="929" w:type="pct"/>
            <w:vMerge w:val="restart"/>
            <w:noWrap/>
            <w:vAlign w:val="center"/>
          </w:tcPr>
          <w:p w14:paraId="6E97421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《养老机构管理办法》第四十六条第八款：养老机构有下列行为之一的，由民政部门责令改正，给予警告；情节严重的，处以3万元以下的罚款：</w:t>
            </w:r>
          </w:p>
          <w:p w14:paraId="28956B1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005A645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（八）向负责监督检查的民政部门隐瞒有关情况、提供虚假材料或者拒绝提供反映其活动情况真实材料的；</w:t>
            </w:r>
          </w:p>
          <w:p w14:paraId="5C0AF6E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2F58287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45BADC5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养老机构向负责监督检查的民政部门隐瞒有关情况、提供虚假材料或者拒绝提供反映其活动情况真实材料，情节轻微。</w:t>
            </w:r>
          </w:p>
        </w:tc>
        <w:tc>
          <w:tcPr>
            <w:tcW w:w="612" w:type="pct"/>
            <w:noWrap/>
            <w:vAlign w:val="center"/>
          </w:tcPr>
          <w:p w14:paraId="4A2FF57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w:t>
            </w:r>
          </w:p>
        </w:tc>
      </w:tr>
      <w:tr w14:paraId="6AB8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201" w:type="pct"/>
            <w:gridSpan w:val="2"/>
            <w:vMerge w:val="continue"/>
            <w:vAlign w:val="center"/>
          </w:tcPr>
          <w:p w14:paraId="456F7DF4">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4FB3FD94">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4ECECC50">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1B4D524D">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05A2FD1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41795CBC">
            <w:pPr>
              <w:adjustRightInd w:val="0"/>
              <w:snapToGrid w:val="0"/>
              <w:rPr>
                <w:rFonts w:hAnsi="宋体" w:cs="宋体"/>
                <w:kern w:val="0"/>
                <w:sz w:val="21"/>
                <w:szCs w:val="21"/>
              </w:rPr>
            </w:pPr>
            <w:r>
              <w:rPr>
                <w:rFonts w:hint="eastAsia" w:hAnsi="宋体" w:cs="宋体"/>
                <w:kern w:val="0"/>
                <w:sz w:val="21"/>
                <w:szCs w:val="21"/>
              </w:rPr>
              <w:t>具有以下情形之一：</w:t>
            </w:r>
          </w:p>
          <w:p w14:paraId="6561449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1.养老机构向负责监督检查的民政部门隐瞒有关情况、提供虚假材料或者拒绝提供反映其活动情况真实材料1至2次，或者产生一定社会影响；</w:t>
            </w:r>
          </w:p>
          <w:p w14:paraId="5CA4011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2.经责令改正后拒不改正。</w:t>
            </w:r>
          </w:p>
        </w:tc>
        <w:tc>
          <w:tcPr>
            <w:tcW w:w="612" w:type="pct"/>
            <w:noWrap/>
            <w:vAlign w:val="center"/>
          </w:tcPr>
          <w:p w14:paraId="2F622B3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处不超过一万元罚款。</w:t>
            </w:r>
          </w:p>
        </w:tc>
      </w:tr>
      <w:tr w14:paraId="6FEC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201" w:type="pct"/>
            <w:gridSpan w:val="2"/>
            <w:vMerge w:val="continue"/>
            <w:vAlign w:val="center"/>
          </w:tcPr>
          <w:p w14:paraId="2D26EB2F">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57275583">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01179257">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16F0AFE0">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6B9FE7C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1898823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养老机构向负责监督检查的民政部门隐瞒有关情况、提供虚假材料或者拒绝提供反映其活动情况真实材料3次以上，或者社会影响严重。</w:t>
            </w:r>
          </w:p>
        </w:tc>
        <w:tc>
          <w:tcPr>
            <w:tcW w:w="612" w:type="pct"/>
            <w:noWrap/>
            <w:vAlign w:val="center"/>
          </w:tcPr>
          <w:p w14:paraId="2C4E140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处一万元以上三万元以下罚款。</w:t>
            </w:r>
          </w:p>
        </w:tc>
      </w:tr>
      <w:tr w14:paraId="58A2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201" w:type="pct"/>
            <w:gridSpan w:val="2"/>
            <w:vMerge w:val="restart"/>
            <w:noWrap/>
            <w:vAlign w:val="center"/>
          </w:tcPr>
          <w:p w14:paraId="7F5EA10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115</w:t>
            </w:r>
          </w:p>
        </w:tc>
        <w:tc>
          <w:tcPr>
            <w:tcW w:w="1050" w:type="pct"/>
            <w:vMerge w:val="restart"/>
            <w:noWrap/>
            <w:vAlign w:val="center"/>
          </w:tcPr>
          <w:p w14:paraId="15754BD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擅自改变依法规划建设或者配置的养老服务设施使用性质。</w:t>
            </w:r>
          </w:p>
        </w:tc>
        <w:tc>
          <w:tcPr>
            <w:tcW w:w="939" w:type="pct"/>
            <w:vMerge w:val="restart"/>
            <w:noWrap/>
            <w:vAlign w:val="center"/>
          </w:tcPr>
          <w:p w14:paraId="49E2EAD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《山东省养老服务条例》第二十一条：未经法定程序，任何组织和个人不得擅自改变养老服务设施建设用地用途或者依法规划建设、配置的养老服务设施使用性质。</w:t>
            </w:r>
          </w:p>
        </w:tc>
        <w:tc>
          <w:tcPr>
            <w:tcW w:w="929" w:type="pct"/>
            <w:vMerge w:val="restart"/>
            <w:noWrap/>
            <w:vAlign w:val="center"/>
          </w:tcPr>
          <w:p w14:paraId="70C8BE3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六十八条：违反本条例规定，擅自改变依法规划建设或者配置的养老服务设施使用性质的，由县级以上人民政府民政部门责令限期改正，有违法所得的，没收违法所得；逾期不改正的，处五万元以上十万元以下的罚款；情节严重的，处十万元以上三十万元以下的罚款。</w:t>
            </w:r>
          </w:p>
        </w:tc>
        <w:tc>
          <w:tcPr>
            <w:tcW w:w="237" w:type="pct"/>
            <w:noWrap/>
            <w:vAlign w:val="center"/>
          </w:tcPr>
          <w:p w14:paraId="6077D879">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724D7D9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未造成不良后果或后果轻微且未影响规划或者配置的房屋、场地、设施恢复养老服务设施功能。</w:t>
            </w:r>
          </w:p>
        </w:tc>
        <w:tc>
          <w:tcPr>
            <w:tcW w:w="612" w:type="pct"/>
            <w:noWrap/>
            <w:vAlign w:val="center"/>
          </w:tcPr>
          <w:p w14:paraId="03423F5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没收违法所得。</w:t>
            </w:r>
          </w:p>
        </w:tc>
      </w:tr>
      <w:tr w14:paraId="2002D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201" w:type="pct"/>
            <w:gridSpan w:val="2"/>
            <w:vMerge w:val="continue"/>
            <w:vAlign w:val="center"/>
          </w:tcPr>
          <w:p w14:paraId="7C3FFDCB">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1A436C55">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321D2712">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839AAC0">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6BD0A9C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5288E620">
            <w:pPr>
              <w:adjustRightInd w:val="0"/>
              <w:snapToGrid w:val="0"/>
              <w:rPr>
                <w:rFonts w:hAnsi="宋体" w:cs="宋体"/>
                <w:kern w:val="0"/>
                <w:sz w:val="21"/>
                <w:szCs w:val="21"/>
              </w:rPr>
            </w:pPr>
            <w:r>
              <w:rPr>
                <w:rFonts w:hint="eastAsia" w:hAnsi="宋体" w:cs="宋体"/>
                <w:kern w:val="0"/>
                <w:sz w:val="21"/>
                <w:szCs w:val="21"/>
              </w:rPr>
              <w:t>具有以下情形之一：</w:t>
            </w:r>
          </w:p>
          <w:p w14:paraId="41E4933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1.影响规划或配置的房屋、场地、设施恢复养老服务设施功能的，或者产生一定社会影响；</w:t>
            </w:r>
          </w:p>
          <w:p w14:paraId="3FB48E2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2.经责令改正后拒不改正。</w:t>
            </w:r>
          </w:p>
        </w:tc>
        <w:tc>
          <w:tcPr>
            <w:tcW w:w="612" w:type="pct"/>
            <w:noWrap/>
            <w:vAlign w:val="center"/>
          </w:tcPr>
          <w:p w14:paraId="1C48EB9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处五万元以上不超过十万元的罚款，没收违法所得。</w:t>
            </w:r>
          </w:p>
        </w:tc>
      </w:tr>
      <w:tr w14:paraId="75E56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21" w:hRule="exact"/>
          <w:jc w:val="center"/>
        </w:trPr>
        <w:tc>
          <w:tcPr>
            <w:tcW w:w="201" w:type="pct"/>
            <w:gridSpan w:val="2"/>
            <w:vMerge w:val="continue"/>
            <w:vAlign w:val="center"/>
          </w:tcPr>
          <w:p w14:paraId="032F3790">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1C63D74C">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026D5DFA">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1CA65D4B">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BD0D29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147A59A0">
            <w:pPr>
              <w:adjustRightInd w:val="0"/>
              <w:snapToGrid w:val="0"/>
              <w:rPr>
                <w:rFonts w:hAnsi="宋体" w:cs="宋体"/>
                <w:kern w:val="0"/>
                <w:sz w:val="21"/>
                <w:szCs w:val="21"/>
              </w:rPr>
            </w:pPr>
            <w:r>
              <w:rPr>
                <w:rFonts w:hint="eastAsia" w:hAnsi="宋体" w:cs="宋体"/>
                <w:kern w:val="0"/>
                <w:sz w:val="21"/>
                <w:szCs w:val="21"/>
              </w:rPr>
              <w:t>具有以下情形之一：</w:t>
            </w:r>
          </w:p>
          <w:p w14:paraId="5C35546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1.严重影响规划或者配置的房屋、场地、设施恢复养老服务设施功能的，或者社会影响严重；</w:t>
            </w:r>
          </w:p>
          <w:p w14:paraId="3E1EC23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2.一年内累计有2次以上违法行为。</w:t>
            </w:r>
          </w:p>
        </w:tc>
        <w:tc>
          <w:tcPr>
            <w:tcW w:w="612" w:type="pct"/>
            <w:noWrap/>
            <w:vAlign w:val="center"/>
          </w:tcPr>
          <w:p w14:paraId="29EA1BF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处十万元以上三十万元以下的罚款，没收违法所得。</w:t>
            </w:r>
          </w:p>
        </w:tc>
      </w:tr>
      <w:tr w14:paraId="79F14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41" w:hRule="exact"/>
          <w:jc w:val="center"/>
        </w:trPr>
        <w:tc>
          <w:tcPr>
            <w:tcW w:w="201" w:type="pct"/>
            <w:gridSpan w:val="2"/>
            <w:vMerge w:val="restart"/>
            <w:noWrap/>
            <w:vAlign w:val="center"/>
          </w:tcPr>
          <w:p w14:paraId="08769978">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116</w:t>
            </w:r>
          </w:p>
        </w:tc>
        <w:tc>
          <w:tcPr>
            <w:tcW w:w="1050" w:type="pct"/>
            <w:vMerge w:val="restart"/>
            <w:noWrap/>
            <w:vAlign w:val="center"/>
          </w:tcPr>
          <w:p w14:paraId="63D4B75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从事居家社区养老服务的组织未按照规定的标准提供服务。</w:t>
            </w:r>
          </w:p>
        </w:tc>
        <w:tc>
          <w:tcPr>
            <w:tcW w:w="939" w:type="pct"/>
            <w:vMerge w:val="restart"/>
            <w:noWrap/>
            <w:vAlign w:val="center"/>
          </w:tcPr>
          <w:p w14:paraId="3DFC135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二十三条：从事居家社区养老服务的组织，应当建立健全规章制度，配备与服务规模相适应的场所、设施设备和工作人员，规范服务流程，按照有关规定合理确定收费标准，并接受服务对象、政府和社会的监督。</w:t>
            </w:r>
          </w:p>
        </w:tc>
        <w:tc>
          <w:tcPr>
            <w:tcW w:w="929" w:type="pct"/>
            <w:vMerge w:val="restart"/>
            <w:noWrap/>
            <w:vAlign w:val="center"/>
          </w:tcPr>
          <w:p w14:paraId="636B8CC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六十九条：违反本条例规定，从事居家社区养老服务的组织未按照规定的标准提供服务的，由县级以上人民政府民政部门责令限期改正；逾期不改正的，处一千元以上三千元以下的罚款；情节严重的，处三千元以上一万元以下的罚款。</w:t>
            </w:r>
          </w:p>
        </w:tc>
        <w:tc>
          <w:tcPr>
            <w:tcW w:w="237" w:type="pct"/>
            <w:noWrap/>
            <w:vAlign w:val="center"/>
          </w:tcPr>
          <w:p w14:paraId="76BA68C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免予处罚</w:t>
            </w:r>
          </w:p>
        </w:tc>
        <w:tc>
          <w:tcPr>
            <w:tcW w:w="1028" w:type="pct"/>
            <w:noWrap/>
            <w:vAlign w:val="center"/>
          </w:tcPr>
          <w:p w14:paraId="484B04E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从事居家社区养老服务的组织首次被发现未按照国家或者省有关标准开展服务的行为且后果轻微，自行纠正或者在限期内改正。</w:t>
            </w:r>
          </w:p>
        </w:tc>
        <w:tc>
          <w:tcPr>
            <w:tcW w:w="612" w:type="pct"/>
            <w:noWrap/>
            <w:vAlign w:val="center"/>
          </w:tcPr>
          <w:p w14:paraId="732F5F1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免予处罚。</w:t>
            </w:r>
          </w:p>
        </w:tc>
      </w:tr>
      <w:tr w14:paraId="3ADF0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41" w:hRule="exact"/>
          <w:jc w:val="center"/>
        </w:trPr>
        <w:tc>
          <w:tcPr>
            <w:tcW w:w="201" w:type="pct"/>
            <w:gridSpan w:val="2"/>
            <w:vMerge w:val="continue"/>
            <w:vAlign w:val="center"/>
          </w:tcPr>
          <w:p w14:paraId="67ACA54C">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73B53809">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6A3FFC5A">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F6C0553">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E8462A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267CD39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存在2项以下未按照国家或者省有关标准开展服务的行为且后果轻微。</w:t>
            </w:r>
          </w:p>
        </w:tc>
        <w:tc>
          <w:tcPr>
            <w:tcW w:w="612" w:type="pct"/>
            <w:noWrap/>
            <w:vAlign w:val="center"/>
          </w:tcPr>
          <w:p w14:paraId="189D848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处一千元以上不超过三千元罚款。</w:t>
            </w:r>
          </w:p>
        </w:tc>
      </w:tr>
      <w:tr w14:paraId="57EC3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41" w:hRule="exact"/>
          <w:jc w:val="center"/>
        </w:trPr>
        <w:tc>
          <w:tcPr>
            <w:tcW w:w="201" w:type="pct"/>
            <w:gridSpan w:val="2"/>
            <w:vMerge w:val="continue"/>
            <w:vAlign w:val="center"/>
          </w:tcPr>
          <w:p w14:paraId="2947E3C6">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0F82843B">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79C56415">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54FEABEF">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6014002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13310145">
            <w:pPr>
              <w:adjustRightInd w:val="0"/>
              <w:snapToGrid w:val="0"/>
              <w:rPr>
                <w:rFonts w:hAnsi="宋体" w:cs="宋体"/>
                <w:kern w:val="0"/>
                <w:sz w:val="21"/>
                <w:szCs w:val="21"/>
              </w:rPr>
            </w:pPr>
            <w:r>
              <w:rPr>
                <w:rFonts w:hint="eastAsia" w:hAnsi="宋体" w:cs="宋体"/>
                <w:kern w:val="0"/>
                <w:sz w:val="21"/>
                <w:szCs w:val="21"/>
              </w:rPr>
              <w:t>具有以下情形之一：</w:t>
            </w:r>
          </w:p>
          <w:p w14:paraId="5DE09B7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1.存在3项至4项未按照国家或者省有关标准开展服务；</w:t>
            </w:r>
          </w:p>
          <w:p w14:paraId="0C9F8D2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2.经责令改正后拒不改正。</w:t>
            </w:r>
          </w:p>
        </w:tc>
        <w:tc>
          <w:tcPr>
            <w:tcW w:w="612" w:type="pct"/>
            <w:noWrap/>
            <w:vAlign w:val="center"/>
          </w:tcPr>
          <w:p w14:paraId="14D0523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处三千元以上不超过五千元罚款。</w:t>
            </w:r>
          </w:p>
        </w:tc>
      </w:tr>
      <w:tr w14:paraId="4C300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41" w:hRule="exact"/>
          <w:jc w:val="center"/>
        </w:trPr>
        <w:tc>
          <w:tcPr>
            <w:tcW w:w="201" w:type="pct"/>
            <w:gridSpan w:val="2"/>
            <w:vMerge w:val="continue"/>
            <w:vAlign w:val="center"/>
          </w:tcPr>
          <w:p w14:paraId="0AACFAF0">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1454568A">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389F5369">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BF8B264">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7275066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4008F062">
            <w:pPr>
              <w:adjustRightInd w:val="0"/>
              <w:snapToGrid w:val="0"/>
              <w:rPr>
                <w:rFonts w:hAnsi="宋体" w:cs="宋体"/>
                <w:kern w:val="0"/>
                <w:sz w:val="21"/>
                <w:szCs w:val="21"/>
              </w:rPr>
            </w:pPr>
            <w:r>
              <w:rPr>
                <w:rFonts w:hint="eastAsia" w:hAnsi="宋体" w:cs="宋体"/>
                <w:kern w:val="0"/>
                <w:sz w:val="21"/>
                <w:szCs w:val="21"/>
              </w:rPr>
              <w:t>具有以下情形之一：</w:t>
            </w:r>
          </w:p>
          <w:p w14:paraId="19A2717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1.存在5项以上未按照国家或者省有关标准开展服务；</w:t>
            </w:r>
          </w:p>
          <w:p w14:paraId="257AC5D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2.一年内累计有2次以上违法行为。</w:t>
            </w:r>
          </w:p>
        </w:tc>
        <w:tc>
          <w:tcPr>
            <w:tcW w:w="612" w:type="pct"/>
            <w:noWrap/>
            <w:vAlign w:val="center"/>
          </w:tcPr>
          <w:p w14:paraId="48BEF93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处五千元以上一万元以下罚款。</w:t>
            </w:r>
          </w:p>
        </w:tc>
      </w:tr>
      <w:tr w14:paraId="257C3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102" w:hRule="exact"/>
          <w:jc w:val="center"/>
        </w:trPr>
        <w:tc>
          <w:tcPr>
            <w:tcW w:w="201" w:type="pct"/>
            <w:gridSpan w:val="2"/>
            <w:vMerge w:val="restart"/>
            <w:noWrap/>
            <w:vAlign w:val="center"/>
          </w:tcPr>
          <w:p w14:paraId="14D7872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117</w:t>
            </w:r>
          </w:p>
        </w:tc>
        <w:tc>
          <w:tcPr>
            <w:tcW w:w="1050" w:type="pct"/>
            <w:vMerge w:val="restart"/>
            <w:noWrap/>
            <w:vAlign w:val="center"/>
          </w:tcPr>
          <w:p w14:paraId="3B148E0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养老机构未与老年人或者其代理人订立养老服务合同。</w:t>
            </w:r>
          </w:p>
        </w:tc>
        <w:tc>
          <w:tcPr>
            <w:tcW w:w="939" w:type="pct"/>
            <w:vMerge w:val="restart"/>
            <w:noWrap/>
            <w:vAlign w:val="center"/>
          </w:tcPr>
          <w:p w14:paraId="11C0E9F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《山东省养老服务条例》第三十三条：养老机构应当与入住的老年人或者其代理人依法订立养老服务合同，明确各方的权利和义务。</w:t>
            </w:r>
          </w:p>
        </w:tc>
        <w:tc>
          <w:tcPr>
            <w:tcW w:w="929" w:type="pct"/>
            <w:vMerge w:val="restart"/>
            <w:noWrap/>
            <w:vAlign w:val="center"/>
          </w:tcPr>
          <w:p w14:paraId="4095979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七十条第一款：违反本条例规定，养老机构有下列行为之一的，由县级以上人民政府民政部门责令限期改正；情节严重的，处一万元以上三万元以下的罚款；可能危及人身健康和生命财产安全的，责令停业整顿，并处三万元以上十万元以下的罚款：</w:t>
            </w:r>
          </w:p>
          <w:p w14:paraId="410B872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（一）未与老年人或者其代理人订立养老服务合同的；</w:t>
            </w:r>
          </w:p>
          <w:p w14:paraId="3FF3598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司法厅关于修改完善〈山东省轻微违法行为不予行政处罚和一般违法行为减轻行政处罚事项清单（2021年版）〉的通知》附件1第二部分，不予行政处罚类第32条：养老机构未与老年人或者其代理人订立养老服务合同。</w:t>
            </w:r>
          </w:p>
          <w:p w14:paraId="31825DE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6BDD928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免予处罚</w:t>
            </w:r>
          </w:p>
        </w:tc>
        <w:tc>
          <w:tcPr>
            <w:tcW w:w="1028" w:type="pct"/>
            <w:noWrap/>
            <w:vAlign w:val="center"/>
          </w:tcPr>
          <w:p w14:paraId="52E669A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养老机构首次被发现未与老年人或者其代理人订立养老服务合同，涉及老年人数占入住老年人数10%以下或者不超过5人，后果轻微且自行纠正或者在限期内改正。</w:t>
            </w:r>
          </w:p>
        </w:tc>
        <w:tc>
          <w:tcPr>
            <w:tcW w:w="612" w:type="pct"/>
            <w:noWrap/>
            <w:vAlign w:val="center"/>
          </w:tcPr>
          <w:p w14:paraId="6521B3E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免予处罚。</w:t>
            </w:r>
          </w:p>
        </w:tc>
      </w:tr>
      <w:tr w14:paraId="3E54F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52" w:hRule="exact"/>
          <w:jc w:val="center"/>
        </w:trPr>
        <w:tc>
          <w:tcPr>
            <w:tcW w:w="201" w:type="pct"/>
            <w:gridSpan w:val="2"/>
            <w:vMerge w:val="continue"/>
            <w:vAlign w:val="center"/>
          </w:tcPr>
          <w:p w14:paraId="5EFB97A1">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2D928DBC">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57656233">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70F15651">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C89CCD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0536D656">
            <w:pPr>
              <w:adjustRightInd w:val="0"/>
              <w:snapToGrid w:val="0"/>
              <w:rPr>
                <w:rFonts w:hAnsi="宋体" w:cs="宋体"/>
                <w:kern w:val="0"/>
                <w:sz w:val="21"/>
                <w:szCs w:val="21"/>
              </w:rPr>
            </w:pPr>
            <w:r>
              <w:rPr>
                <w:rFonts w:hint="eastAsia" w:hAnsi="宋体" w:cs="宋体"/>
                <w:kern w:val="0"/>
                <w:sz w:val="21"/>
                <w:szCs w:val="21"/>
              </w:rPr>
              <w:t>具有以下情形之一：</w:t>
            </w:r>
          </w:p>
          <w:p w14:paraId="5B187A5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1.养老机构未与老年人或者其代理人订立养老服务合同，涉及老年人数占入住老年人数10%以上30%以下，或者5人以上不超过20人；</w:t>
            </w:r>
          </w:p>
          <w:p w14:paraId="59E2D05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2.经责令改正后拒不改正。</w:t>
            </w:r>
          </w:p>
        </w:tc>
        <w:tc>
          <w:tcPr>
            <w:tcW w:w="612" w:type="pct"/>
            <w:noWrap/>
            <w:vAlign w:val="center"/>
          </w:tcPr>
          <w:p w14:paraId="0816331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处一万元以上不超过二万元罚款。</w:t>
            </w:r>
          </w:p>
        </w:tc>
      </w:tr>
      <w:tr w14:paraId="6F36F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85" w:hRule="exact"/>
          <w:jc w:val="center"/>
        </w:trPr>
        <w:tc>
          <w:tcPr>
            <w:tcW w:w="201" w:type="pct"/>
            <w:gridSpan w:val="2"/>
            <w:vMerge w:val="continue"/>
            <w:vAlign w:val="center"/>
          </w:tcPr>
          <w:p w14:paraId="2FF08813">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19CE7BE9">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0CA0034A">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E845FEE">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03F8B00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5585FC1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养老机构未与老年人或者其代理人订立养老服务合同，涉及老年人数占入住老年人数30%以上或20人以上或者违法行为造成较重后果。</w:t>
            </w:r>
          </w:p>
        </w:tc>
        <w:tc>
          <w:tcPr>
            <w:tcW w:w="612" w:type="pct"/>
            <w:noWrap/>
            <w:vAlign w:val="center"/>
          </w:tcPr>
          <w:p w14:paraId="7BE9FA8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处二万元以上不超过三万元罚款。</w:t>
            </w:r>
          </w:p>
        </w:tc>
      </w:tr>
      <w:tr w14:paraId="594C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486" w:hRule="exact"/>
          <w:jc w:val="center"/>
        </w:trPr>
        <w:tc>
          <w:tcPr>
            <w:tcW w:w="201" w:type="pct"/>
            <w:gridSpan w:val="2"/>
            <w:vMerge w:val="continue"/>
            <w:vAlign w:val="center"/>
          </w:tcPr>
          <w:p w14:paraId="6314A664">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67E61EF4">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11754C06">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FB95A09">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DD80D9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1E2A8C6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可能危及人身健康和生命财产安全。</w:t>
            </w:r>
          </w:p>
        </w:tc>
        <w:tc>
          <w:tcPr>
            <w:tcW w:w="612" w:type="pct"/>
            <w:noWrap/>
            <w:vAlign w:val="center"/>
          </w:tcPr>
          <w:p w14:paraId="6D480D4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责令停业整顿，并处三万元以上十万元以下的罚款。</w:t>
            </w:r>
          </w:p>
        </w:tc>
      </w:tr>
      <w:tr w14:paraId="19A81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201" w:type="pct"/>
            <w:gridSpan w:val="2"/>
            <w:vMerge w:val="restart"/>
            <w:noWrap/>
            <w:vAlign w:val="center"/>
          </w:tcPr>
          <w:p w14:paraId="70394B5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118</w:t>
            </w:r>
          </w:p>
        </w:tc>
        <w:tc>
          <w:tcPr>
            <w:tcW w:w="1050" w:type="pct"/>
            <w:vMerge w:val="restart"/>
            <w:noWrap/>
            <w:vAlign w:val="center"/>
          </w:tcPr>
          <w:p w14:paraId="2F59284B">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养老机构未按照国家和省规定的技术标准和规范开展服务。</w:t>
            </w:r>
          </w:p>
          <w:p w14:paraId="0046B43D">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具体主要有：</w:t>
            </w:r>
          </w:p>
          <w:p w14:paraId="0C850AC5">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1.标准方面：</w:t>
            </w:r>
          </w:p>
          <w:p w14:paraId="03700F3E">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未按照国家标准、地方标准或行业标准提供服务的；</w:t>
            </w:r>
          </w:p>
          <w:p w14:paraId="3B0C452E">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2.规定方面：</w:t>
            </w:r>
          </w:p>
          <w:p w14:paraId="6EDF9194">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（1）服务未完全满足老年人的吃饭、穿衣、如厕、洗澡、室内外活动等日常生活需求的；</w:t>
            </w:r>
          </w:p>
          <w:p w14:paraId="65F9EC21">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（2）未提供符合老年人居住条件的住房的；</w:t>
            </w:r>
          </w:p>
          <w:p w14:paraId="388B4FB7">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（3）未配备适合老年人安全保护要求的设施、设备及用具；</w:t>
            </w:r>
          </w:p>
          <w:p w14:paraId="62F2923B">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（4）未定期对老年人活动场所和物品进行消毒和清洗；</w:t>
            </w:r>
          </w:p>
          <w:p w14:paraId="03EC673F">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（5）提供的饮食不符合卫生要求、营养平衡或民族风俗习惯；</w:t>
            </w:r>
          </w:p>
          <w:p w14:paraId="274E60FB">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（6）未建立入院评估制度或未做好老年人健康状况评估或未实施分级分类服务；</w:t>
            </w:r>
          </w:p>
          <w:p w14:paraId="150434DA">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（7）未为老年人建立健康档案、未组织定期体检或未做好疾病预防工作；</w:t>
            </w:r>
          </w:p>
          <w:p w14:paraId="26E70FC8">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（8）设立医疗机构的，未依法取得医疗机构执业许可证；</w:t>
            </w:r>
          </w:p>
          <w:p w14:paraId="77814104">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（9）老年人突发危重疾病时未及时通知代理人并送医院救治；</w:t>
            </w:r>
          </w:p>
          <w:p w14:paraId="3FD04058">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（10）发现老年人为疑似传染病病人或者精神病患者时，未按照传染病防治、精神卫生等相关法律法规的规定处理；</w:t>
            </w:r>
          </w:p>
          <w:p w14:paraId="070657CC">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（11）未根据老人需要提供情绪疏导、心理咨询、危机干预等精神慰藉服务；</w:t>
            </w:r>
          </w:p>
          <w:p w14:paraId="54FD1D58">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（12）未开展适合老年人的文化、体育、娱乐活动，丰富老年人的精神文化生活；</w:t>
            </w:r>
          </w:p>
          <w:p w14:paraId="3CC24EB0">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kern w:val="0"/>
                <w:sz w:val="21"/>
                <w:szCs w:val="21"/>
                <w:highlight w:val="magenta"/>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（13）养老机构开展文化、体育、娱乐活动时，未为老年人提供必要的安全措施的。</w:t>
            </w:r>
          </w:p>
        </w:tc>
        <w:tc>
          <w:tcPr>
            <w:tcW w:w="939" w:type="pct"/>
            <w:vMerge w:val="restart"/>
            <w:noWrap/>
            <w:vAlign w:val="center"/>
          </w:tcPr>
          <w:p w14:paraId="11F22F2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《山东省养老服务条例》第三十四条：养老机构应当按照有关服务标准、规范以及养老服务合同约定，提供下列服务：</w:t>
            </w:r>
          </w:p>
          <w:p w14:paraId="661C3CE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（一）提供符合食品安全要求和民族风俗习惯，适宜老年人食用的膳食；</w:t>
            </w:r>
          </w:p>
          <w:p w14:paraId="09075EE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（二）提供符合老年人居住条件的住房，并配备适合老年人安全保护要求的设施、设备以及用具；</w:t>
            </w:r>
          </w:p>
          <w:p w14:paraId="5E6D514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（三）定期对老年人活动场所和使用物品进行清洗消毒；</w:t>
            </w:r>
          </w:p>
          <w:p w14:paraId="5696181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（四）开展适合老年人的文化、体育、娱乐活动；</w:t>
            </w:r>
          </w:p>
          <w:p w14:paraId="1AA5F8C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（五）根据需要为老年人提供心理咨询服务；</w:t>
            </w:r>
          </w:p>
          <w:p w14:paraId="6796094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（六）建立夜间值班制度，做好老年人夜间监护工作；</w:t>
            </w:r>
          </w:p>
          <w:p w14:paraId="60C1BB0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（七）其他适合老年人的服务。</w:t>
            </w:r>
          </w:p>
        </w:tc>
        <w:tc>
          <w:tcPr>
            <w:tcW w:w="929" w:type="pct"/>
            <w:vMerge w:val="restart"/>
            <w:noWrap/>
            <w:vAlign w:val="center"/>
          </w:tcPr>
          <w:p w14:paraId="03F6021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七十条第二款：违反本条例规定，养老机构有下列行为之一的，由县级以上人民政府民政部门责令限期改正；情节严重的，处一万元以上三万元以下的罚款；可能危及人身健康和生命财产安全的，责令停业整顿，并处三万元以上十万元以下的罚款：</w:t>
            </w:r>
          </w:p>
          <w:p w14:paraId="5C30C76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2E01E26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（二）未按照国家和省规定的技术标准和规范开展服务的；</w:t>
            </w:r>
          </w:p>
          <w:p w14:paraId="5E048D8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6615098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免予处罚</w:t>
            </w:r>
          </w:p>
        </w:tc>
        <w:tc>
          <w:tcPr>
            <w:tcW w:w="1028" w:type="pct"/>
            <w:noWrap/>
            <w:vAlign w:val="center"/>
          </w:tcPr>
          <w:p w14:paraId="6A0C389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养老机构首次被发现存在2项以下未按照国家或者省有关标准开展服务的行为，后果轻微且自行纠正或在限期内改正。</w:t>
            </w:r>
          </w:p>
        </w:tc>
        <w:tc>
          <w:tcPr>
            <w:tcW w:w="612" w:type="pct"/>
            <w:noWrap/>
            <w:vAlign w:val="center"/>
          </w:tcPr>
          <w:p w14:paraId="2314064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免予处罚。</w:t>
            </w:r>
          </w:p>
        </w:tc>
      </w:tr>
      <w:tr w14:paraId="30F6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201" w:type="pct"/>
            <w:gridSpan w:val="2"/>
            <w:vMerge w:val="continue"/>
            <w:tcBorders>
              <w:bottom w:val="single" w:color="auto" w:sz="4" w:space="0"/>
            </w:tcBorders>
            <w:vAlign w:val="center"/>
          </w:tcPr>
          <w:p w14:paraId="539704D5">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6943524A">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1ABEB4DC">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36CB21C">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69C9FA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31104C96">
            <w:pPr>
              <w:adjustRightInd w:val="0"/>
              <w:snapToGrid w:val="0"/>
              <w:rPr>
                <w:rFonts w:hAnsi="宋体" w:cs="宋体"/>
                <w:kern w:val="0"/>
                <w:sz w:val="21"/>
                <w:szCs w:val="21"/>
              </w:rPr>
            </w:pPr>
            <w:r>
              <w:rPr>
                <w:rFonts w:hint="eastAsia" w:hAnsi="宋体" w:cs="宋体"/>
                <w:kern w:val="0"/>
                <w:sz w:val="21"/>
                <w:szCs w:val="21"/>
              </w:rPr>
              <w:t>具有以下情形之一：</w:t>
            </w:r>
          </w:p>
          <w:p w14:paraId="0E2D779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1.存在3项至4项未按照国家或者省有关标准开展服务的行为；</w:t>
            </w:r>
          </w:p>
          <w:p w14:paraId="7DBDB10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2.经责令改正后拒不改正。</w:t>
            </w:r>
          </w:p>
        </w:tc>
        <w:tc>
          <w:tcPr>
            <w:tcW w:w="612" w:type="pct"/>
            <w:noWrap/>
            <w:vAlign w:val="center"/>
          </w:tcPr>
          <w:p w14:paraId="0F00312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处一万元以上不超过二万元罚款。</w:t>
            </w:r>
          </w:p>
        </w:tc>
      </w:tr>
      <w:tr w14:paraId="4FDC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201" w:type="pct"/>
            <w:gridSpan w:val="2"/>
            <w:vMerge w:val="restart"/>
            <w:tcBorders>
              <w:top w:val="single" w:color="auto" w:sz="4" w:space="0"/>
              <w:left w:val="single" w:color="auto" w:sz="4" w:space="0"/>
              <w:right w:val="single" w:color="auto" w:sz="4" w:space="0"/>
            </w:tcBorders>
            <w:vAlign w:val="center"/>
          </w:tcPr>
          <w:p w14:paraId="7A498F62">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118</w:t>
            </w:r>
          </w:p>
        </w:tc>
        <w:tc>
          <w:tcPr>
            <w:tcW w:w="1050" w:type="pct"/>
            <w:vMerge w:val="restart"/>
            <w:tcBorders>
              <w:left w:val="single" w:color="auto" w:sz="4" w:space="0"/>
            </w:tcBorders>
            <w:vAlign w:val="center"/>
          </w:tcPr>
          <w:p w14:paraId="37565B10">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养老机构未按照国家和省规定的技术标准和规范开展服务。</w:t>
            </w:r>
          </w:p>
          <w:p w14:paraId="5F7DA8BE">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具体主要有：</w:t>
            </w:r>
          </w:p>
          <w:p w14:paraId="0E551F4C">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1.标准方面：</w:t>
            </w:r>
          </w:p>
          <w:p w14:paraId="054FA2CA">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未按照国家标准、地方标准或行业标准提供服务的；</w:t>
            </w:r>
          </w:p>
          <w:p w14:paraId="2FEA9C02">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2.规定方面：</w:t>
            </w:r>
          </w:p>
          <w:p w14:paraId="54FB9D24">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（1）服务未完全满足老年人的吃饭、穿衣、如厕、洗澡、室内外活动等日常生活需求的；</w:t>
            </w:r>
          </w:p>
          <w:p w14:paraId="095E4EF9">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（2）未提供符合老年人居住条件的住房的；</w:t>
            </w:r>
          </w:p>
          <w:p w14:paraId="69F67093">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（3）未配备适合老年人安全保护要求的设施、设备及用具；</w:t>
            </w:r>
          </w:p>
          <w:p w14:paraId="68705024">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（4）未定期对老年人活动场所和物品进行消毒和清洗；</w:t>
            </w:r>
          </w:p>
          <w:p w14:paraId="7C275B47">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（5）提供的饮食不符合卫生要求、营养平衡或民族风俗习惯；</w:t>
            </w:r>
          </w:p>
          <w:p w14:paraId="1ECCE0BE">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（6）未建立入院评估制度或未做好老年人健康状况评估或未实施分级分类服务；</w:t>
            </w:r>
          </w:p>
          <w:p w14:paraId="7A3BC845">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（7）未为老年人建立健康档案、未组织定期体检或未做好疾病预防工作；</w:t>
            </w:r>
          </w:p>
          <w:p w14:paraId="0E7BA597">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（8）设立医疗机构的，未依法取得医疗机构执业许可证；</w:t>
            </w:r>
          </w:p>
          <w:p w14:paraId="321706FE">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（9）老年人突发危重疾病时未及时通知代理人并送医院救治；</w:t>
            </w:r>
          </w:p>
          <w:p w14:paraId="6AFE9E2B">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（10）发现老年人为疑似传染病病人或者精神病患者时，未按照传染病防治、精神卫生等相关法律法规的规定处理；</w:t>
            </w:r>
          </w:p>
          <w:p w14:paraId="03D23F29">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（11）未根据老人需要提供情绪疏导、心理咨询、危机干预等精神慰藉服务；</w:t>
            </w:r>
          </w:p>
          <w:p w14:paraId="4E2D0745">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spacing w:val="-6"/>
                <w:kern w:val="0"/>
                <w:sz w:val="17"/>
                <w:szCs w:val="17"/>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（12）未开展适合老年人的文化、体育、娱乐活动，丰富老年人的精神文化生活；</w:t>
            </w:r>
          </w:p>
          <w:p w14:paraId="58B440D9">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spacing w:val="-6"/>
                <w:kern w:val="0"/>
                <w:sz w:val="17"/>
                <w:szCs w:val="17"/>
                <w14:textFill>
                  <w14:solidFill>
                    <w14:schemeClr w14:val="tx1"/>
                  </w14:solidFill>
                </w14:textFill>
              </w:rPr>
              <w:t>（13）养老机构开展文化、体育、娱乐活动时，未为老年人提供必要的安全措施的。</w:t>
            </w:r>
          </w:p>
        </w:tc>
        <w:tc>
          <w:tcPr>
            <w:tcW w:w="939" w:type="pct"/>
            <w:vMerge w:val="restart"/>
            <w:vAlign w:val="center"/>
          </w:tcPr>
          <w:p w14:paraId="42EBC46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《山东省养老服务条例》第三十四条：养老机构应当按照有关服务标准、规范以及养老服务合同约定，提供下列服务：</w:t>
            </w:r>
          </w:p>
          <w:p w14:paraId="612DCFE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（一）提供符合食品安全要求和民族风俗习惯，适宜老年人食用的膳食；</w:t>
            </w:r>
          </w:p>
          <w:p w14:paraId="3C5DA17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（二）提供符合老年人居住条件的住房，并配备适合老年人安全保护要求的设施、设备以及用具；</w:t>
            </w:r>
          </w:p>
          <w:p w14:paraId="28DB018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（三）定期对老年人活动场所和使用物品进行清洗消毒；</w:t>
            </w:r>
          </w:p>
          <w:p w14:paraId="3398E6C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（四）开展适合老年人的文化、体育、娱乐活动；</w:t>
            </w:r>
          </w:p>
          <w:p w14:paraId="4DEFCF4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（五）根据需要为老年人提供心理咨询服务；</w:t>
            </w:r>
          </w:p>
          <w:p w14:paraId="7A4DC64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（六）建立夜间值班制度，做好老年人夜间监护工作；</w:t>
            </w:r>
          </w:p>
          <w:p w14:paraId="1C57EB2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（七）其他适合老年人的服务。</w:t>
            </w:r>
          </w:p>
        </w:tc>
        <w:tc>
          <w:tcPr>
            <w:tcW w:w="929" w:type="pct"/>
            <w:vMerge w:val="restart"/>
            <w:vAlign w:val="center"/>
          </w:tcPr>
          <w:p w14:paraId="25C6AE1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七十条第二款：违反本条例规定，养老机构有下列行为之一的，由县级以上人民政府民政部门责令限期改正；情节严重的，处一万元以上三万元以下的罚款；可能危及人身健康和生命财产安全的，责令停业整顿，并处三万元以上十万元以下的罚款：</w:t>
            </w:r>
          </w:p>
          <w:p w14:paraId="1BBEB03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3950D8A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（二）未按照国家和省规定的技术标准和规范开展服务的；</w:t>
            </w:r>
          </w:p>
          <w:p w14:paraId="5F672B3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5CE2950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3D008D76">
            <w:pPr>
              <w:adjustRightInd w:val="0"/>
              <w:snapToGrid w:val="0"/>
              <w:rPr>
                <w:rFonts w:hAnsi="宋体" w:cs="宋体"/>
                <w:kern w:val="0"/>
                <w:sz w:val="21"/>
                <w:szCs w:val="21"/>
              </w:rPr>
            </w:pPr>
            <w:r>
              <w:rPr>
                <w:rFonts w:hint="eastAsia" w:hAnsi="宋体" w:cs="宋体"/>
                <w:kern w:val="0"/>
                <w:sz w:val="21"/>
                <w:szCs w:val="21"/>
              </w:rPr>
              <w:t>具有以下情形之一：</w:t>
            </w:r>
          </w:p>
          <w:p w14:paraId="573AA3F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1.存在5项以上未按照国家或者省有关标准开展服务的行为或者违法行为造成较重后果；</w:t>
            </w:r>
          </w:p>
          <w:p w14:paraId="304043C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2.一年内有2次以上违法行为。</w:t>
            </w:r>
          </w:p>
        </w:tc>
        <w:tc>
          <w:tcPr>
            <w:tcW w:w="612" w:type="pct"/>
            <w:noWrap/>
            <w:vAlign w:val="center"/>
          </w:tcPr>
          <w:p w14:paraId="3BE80DE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处二万元以上不超过三万元罚款。</w:t>
            </w:r>
          </w:p>
        </w:tc>
      </w:tr>
      <w:tr w14:paraId="7A9D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201" w:type="pct"/>
            <w:gridSpan w:val="2"/>
            <w:vMerge w:val="continue"/>
            <w:tcBorders>
              <w:left w:val="single" w:color="auto" w:sz="4" w:space="0"/>
              <w:bottom w:val="single" w:color="auto" w:sz="4" w:space="0"/>
              <w:right w:val="single" w:color="auto" w:sz="4" w:space="0"/>
            </w:tcBorders>
            <w:vAlign w:val="center"/>
          </w:tcPr>
          <w:p w14:paraId="7572A8E2">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tcBorders>
              <w:left w:val="single" w:color="auto" w:sz="4" w:space="0"/>
            </w:tcBorders>
            <w:vAlign w:val="center"/>
          </w:tcPr>
          <w:p w14:paraId="38892DAD">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16EBC1B1">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7D5AC0C6">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46B01D2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1B54589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可能危及人身健康和生命财产安全。</w:t>
            </w:r>
          </w:p>
        </w:tc>
        <w:tc>
          <w:tcPr>
            <w:tcW w:w="612" w:type="pct"/>
            <w:noWrap/>
            <w:vAlign w:val="center"/>
          </w:tcPr>
          <w:p w14:paraId="1DCA64C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责令停业整顿，并处三万元以上十万元以下的罚款</w:t>
            </w:r>
          </w:p>
        </w:tc>
      </w:tr>
      <w:tr w14:paraId="7C348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90" w:hRule="exact"/>
          <w:jc w:val="center"/>
        </w:trPr>
        <w:tc>
          <w:tcPr>
            <w:tcW w:w="201" w:type="pct"/>
            <w:gridSpan w:val="2"/>
            <w:vMerge w:val="restart"/>
            <w:tcBorders>
              <w:top w:val="single" w:color="auto" w:sz="4" w:space="0"/>
            </w:tcBorders>
            <w:noWrap/>
            <w:vAlign w:val="center"/>
          </w:tcPr>
          <w:p w14:paraId="5E1F8B8A">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119</w:t>
            </w:r>
          </w:p>
        </w:tc>
        <w:tc>
          <w:tcPr>
            <w:tcW w:w="1050" w:type="pct"/>
            <w:vMerge w:val="restart"/>
            <w:noWrap/>
            <w:vAlign w:val="center"/>
          </w:tcPr>
          <w:p w14:paraId="1904AD0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养老机构擅自暂停或终止服务且未妥善安置入住老年人。</w:t>
            </w:r>
          </w:p>
        </w:tc>
        <w:tc>
          <w:tcPr>
            <w:tcW w:w="939" w:type="pct"/>
            <w:vMerge w:val="restart"/>
            <w:noWrap/>
            <w:vAlign w:val="center"/>
          </w:tcPr>
          <w:p w14:paraId="468930A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三十八条：养老机构暂停、终止养老服务的，应当在暂停或者终止服务六十日前，向备案的民政部门提交老年人安置方案。安置方案应当明确收住老年人的数量、安置计划以及实施日期等内容。民政部门应当及时督促养老机构实施安置方案，为其妥善安置老年人提供帮助。</w:t>
            </w:r>
          </w:p>
        </w:tc>
        <w:tc>
          <w:tcPr>
            <w:tcW w:w="929" w:type="pct"/>
            <w:vMerge w:val="restart"/>
            <w:noWrap/>
            <w:vAlign w:val="center"/>
          </w:tcPr>
          <w:p w14:paraId="2D81A92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七十条第三款：违反本条例规定，养老机构有下列行为之一的，由县级以上人民政府民政部门责令限期改正；情节严重的，处一万元以上三万元以下的罚款；可能危及人身健康和生命财产安全的，责令停业整顿，并处三万元以上十万元以下的罚款：</w:t>
            </w:r>
          </w:p>
          <w:p w14:paraId="5341366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br w:type="page"/>
            </w:r>
            <w:r>
              <w:rPr>
                <w:rFonts w:hint="eastAsia" w:hAnsi="宋体" w:cs="宋体"/>
                <w:color w:val="000000" w:themeColor="text1"/>
                <w:kern w:val="0"/>
                <w:sz w:val="21"/>
                <w:szCs w:val="21"/>
                <w14:textFill>
                  <w14:solidFill>
                    <w14:schemeClr w14:val="tx1"/>
                  </w14:solidFill>
                </w14:textFill>
              </w:rPr>
              <w:t>……</w:t>
            </w:r>
            <w:r>
              <w:rPr>
                <w:rFonts w:hint="eastAsia" w:hAnsi="宋体" w:cs="宋体"/>
                <w:color w:val="000000" w:themeColor="text1"/>
                <w:kern w:val="0"/>
                <w:sz w:val="21"/>
                <w:szCs w:val="21"/>
                <w14:textFill>
                  <w14:solidFill>
                    <w14:schemeClr w14:val="tx1"/>
                  </w14:solidFill>
                </w14:textFill>
              </w:rPr>
              <w:br w:type="page"/>
            </w:r>
          </w:p>
          <w:p w14:paraId="42C43A4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（三）暂停、终止养老服务时未妥善安置入住老年人的；</w:t>
            </w:r>
            <w:r>
              <w:rPr>
                <w:rFonts w:hint="eastAsia" w:hAnsi="宋体" w:cs="宋体"/>
                <w:color w:val="000000" w:themeColor="text1"/>
                <w:kern w:val="0"/>
                <w:sz w:val="21"/>
                <w:szCs w:val="21"/>
                <w14:textFill>
                  <w14:solidFill>
                    <w14:schemeClr w14:val="tx1"/>
                  </w14:solidFill>
                </w14:textFill>
              </w:rPr>
              <w:br w:type="page"/>
            </w:r>
          </w:p>
          <w:p w14:paraId="0D69468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62DF3FA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免予处罚</w:t>
            </w:r>
          </w:p>
        </w:tc>
        <w:tc>
          <w:tcPr>
            <w:tcW w:w="1028" w:type="pct"/>
            <w:noWrap/>
            <w:vAlign w:val="center"/>
          </w:tcPr>
          <w:p w14:paraId="7F7ABB4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养老机构首次被发现擅自暂停或终止服务且未妥善安置入住老年人，涉及老年人数占入住老年人数10%以下或不超过5人，后果轻微且自行纠正或者在限期内改正。</w:t>
            </w:r>
          </w:p>
        </w:tc>
        <w:tc>
          <w:tcPr>
            <w:tcW w:w="612" w:type="pct"/>
            <w:noWrap/>
            <w:vAlign w:val="center"/>
          </w:tcPr>
          <w:p w14:paraId="4CFD356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免予处罚</w:t>
            </w:r>
          </w:p>
        </w:tc>
      </w:tr>
      <w:tr w14:paraId="7DFF0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23" w:hRule="exact"/>
          <w:jc w:val="center"/>
        </w:trPr>
        <w:tc>
          <w:tcPr>
            <w:tcW w:w="201" w:type="pct"/>
            <w:gridSpan w:val="2"/>
            <w:vMerge w:val="continue"/>
            <w:vAlign w:val="center"/>
          </w:tcPr>
          <w:p w14:paraId="5262B1CD">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2F12A26C">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3536081F">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1CEBAFE3">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36BF4A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32108C9E">
            <w:pPr>
              <w:adjustRightInd w:val="0"/>
              <w:snapToGrid w:val="0"/>
              <w:rPr>
                <w:rFonts w:hAnsi="宋体" w:cs="宋体"/>
                <w:kern w:val="0"/>
                <w:sz w:val="21"/>
                <w:szCs w:val="21"/>
              </w:rPr>
            </w:pPr>
            <w:r>
              <w:rPr>
                <w:rFonts w:hint="eastAsia" w:hAnsi="宋体" w:cs="宋体"/>
                <w:kern w:val="0"/>
                <w:sz w:val="21"/>
                <w:szCs w:val="21"/>
              </w:rPr>
              <w:t>具有以下情形之一：</w:t>
            </w:r>
          </w:p>
          <w:p w14:paraId="51B351E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1.养老机构擅自暂停或终止服务且未妥善安置入住老年人，涉及老年人数占入住老年人数10%以上30%以下，或者5人以上不超过20人；</w:t>
            </w:r>
          </w:p>
          <w:p w14:paraId="7707077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2.经责令改正后拒不改正。</w:t>
            </w:r>
          </w:p>
        </w:tc>
        <w:tc>
          <w:tcPr>
            <w:tcW w:w="612" w:type="pct"/>
            <w:noWrap/>
            <w:vAlign w:val="center"/>
          </w:tcPr>
          <w:p w14:paraId="640068D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处一万元以上不超过二万元罚款。</w:t>
            </w:r>
          </w:p>
        </w:tc>
      </w:tr>
      <w:tr w14:paraId="3DC4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285" w:hRule="exact"/>
          <w:jc w:val="center"/>
        </w:trPr>
        <w:tc>
          <w:tcPr>
            <w:tcW w:w="201" w:type="pct"/>
            <w:gridSpan w:val="2"/>
            <w:vMerge w:val="continue"/>
            <w:vAlign w:val="center"/>
          </w:tcPr>
          <w:p w14:paraId="62D26FD2">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72FD7C5C">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38DC6BD6">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8FBCF32">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60463633">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4276E27A">
            <w:pPr>
              <w:adjustRightInd w:val="0"/>
              <w:snapToGrid w:val="0"/>
              <w:rPr>
                <w:rFonts w:hAnsi="宋体" w:cs="宋体"/>
                <w:kern w:val="0"/>
                <w:sz w:val="21"/>
                <w:szCs w:val="21"/>
              </w:rPr>
            </w:pPr>
            <w:r>
              <w:rPr>
                <w:rFonts w:hint="eastAsia" w:hAnsi="宋体" w:cs="宋体"/>
                <w:kern w:val="0"/>
                <w:sz w:val="21"/>
                <w:szCs w:val="21"/>
              </w:rPr>
              <w:t>具有以下情形之一：</w:t>
            </w:r>
          </w:p>
          <w:p w14:paraId="374C9CC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1.养老机构擅自暂停或终止服务且未妥善安置入住老年人，涉及老年人数占入住老年人数30%以上，或者20人以上；</w:t>
            </w:r>
          </w:p>
          <w:p w14:paraId="29501B8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2.一年内累计有2次以上违法行为。</w:t>
            </w:r>
          </w:p>
        </w:tc>
        <w:tc>
          <w:tcPr>
            <w:tcW w:w="612" w:type="pct"/>
            <w:noWrap/>
            <w:vAlign w:val="center"/>
          </w:tcPr>
          <w:p w14:paraId="635017CB">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处二万元以上不超过三万元罚款。</w:t>
            </w:r>
          </w:p>
        </w:tc>
      </w:tr>
      <w:tr w14:paraId="41DF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391" w:hRule="atLeast"/>
          <w:jc w:val="center"/>
        </w:trPr>
        <w:tc>
          <w:tcPr>
            <w:tcW w:w="201" w:type="pct"/>
            <w:gridSpan w:val="2"/>
            <w:vMerge w:val="continue"/>
            <w:vAlign w:val="center"/>
          </w:tcPr>
          <w:p w14:paraId="2D0C408D">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2E6FAC88">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68EA4465">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43C1151C">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AC51B9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780F04D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可能危及人身健康和生命财产安全。</w:t>
            </w:r>
          </w:p>
        </w:tc>
        <w:tc>
          <w:tcPr>
            <w:tcW w:w="612" w:type="pct"/>
            <w:noWrap/>
            <w:vAlign w:val="center"/>
          </w:tcPr>
          <w:p w14:paraId="7332C3E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责令停业整顿，并处三万元以上十万元以下的罚款。</w:t>
            </w:r>
          </w:p>
        </w:tc>
      </w:tr>
      <w:tr w14:paraId="20E9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201" w:type="pct"/>
            <w:gridSpan w:val="2"/>
            <w:vMerge w:val="restart"/>
            <w:noWrap/>
            <w:vAlign w:val="center"/>
          </w:tcPr>
          <w:p w14:paraId="0AC6BD8B">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120</w:t>
            </w:r>
          </w:p>
        </w:tc>
        <w:tc>
          <w:tcPr>
            <w:tcW w:w="1050" w:type="pct"/>
            <w:vMerge w:val="restart"/>
            <w:noWrap/>
            <w:vAlign w:val="center"/>
          </w:tcPr>
          <w:p w14:paraId="671FA31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养老机构歧视、侮辱、虐待或遗弃老年人以及其他侵犯老年人合法权益。</w:t>
            </w:r>
          </w:p>
        </w:tc>
        <w:tc>
          <w:tcPr>
            <w:tcW w:w="939" w:type="pct"/>
            <w:vMerge w:val="restart"/>
            <w:noWrap/>
            <w:vAlign w:val="center"/>
          </w:tcPr>
          <w:p w14:paraId="6ED8F07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《山东省养老服务条例》第三十五条：养老机构及其工作人员应当尊重入住老年人的人格尊严，不得歧视、侮辱、虐待、遗弃老年人。</w:t>
            </w:r>
          </w:p>
        </w:tc>
        <w:tc>
          <w:tcPr>
            <w:tcW w:w="929" w:type="pct"/>
            <w:vMerge w:val="restart"/>
            <w:noWrap/>
            <w:vAlign w:val="center"/>
          </w:tcPr>
          <w:p w14:paraId="638037D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七十条第四款：违反本条例规定，养老机构有下列行为之一的，由县级以上人民政府民政部门责令限期改正；情节严重的，处一万元以上三万元以下的罚款；可能危及人身健康和生命财产安全的，责令停业整顿，并处三万元以上十万元以下的罚款：</w:t>
            </w:r>
          </w:p>
          <w:p w14:paraId="49D939F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2D861EB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（四）有歧视、侮辱、虐待、遗弃老年人或者其他侵犯老年人合法权益行为的；</w:t>
            </w:r>
          </w:p>
          <w:p w14:paraId="73422AD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2EDAD30F">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免予处罚</w:t>
            </w:r>
          </w:p>
        </w:tc>
        <w:tc>
          <w:tcPr>
            <w:tcW w:w="1028" w:type="pct"/>
            <w:noWrap/>
            <w:vAlign w:val="center"/>
          </w:tcPr>
          <w:p w14:paraId="61B67AA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养老机构有歧视、侮辱、虐待老年人以及其他侵害老年人人身和财产权益行为1次，且未造成不良后果或者后果轻微，主动取得老年人及家属谅解。</w:t>
            </w:r>
          </w:p>
        </w:tc>
        <w:tc>
          <w:tcPr>
            <w:tcW w:w="612" w:type="pct"/>
            <w:noWrap/>
            <w:vAlign w:val="center"/>
          </w:tcPr>
          <w:p w14:paraId="20D4393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免予处罚。</w:t>
            </w:r>
          </w:p>
        </w:tc>
      </w:tr>
      <w:tr w14:paraId="412C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201" w:type="pct"/>
            <w:gridSpan w:val="2"/>
            <w:vMerge w:val="continue"/>
            <w:vAlign w:val="center"/>
          </w:tcPr>
          <w:p w14:paraId="25CA37DB">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5E34C758">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28C6CFEF">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0E481635">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6DBE549E">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5D245C30">
            <w:pPr>
              <w:adjustRightInd w:val="0"/>
              <w:snapToGrid w:val="0"/>
              <w:rPr>
                <w:rFonts w:hAnsi="宋体" w:cs="宋体"/>
                <w:kern w:val="0"/>
                <w:sz w:val="21"/>
                <w:szCs w:val="21"/>
              </w:rPr>
            </w:pPr>
            <w:r>
              <w:rPr>
                <w:rFonts w:hint="eastAsia" w:hAnsi="宋体" w:cs="宋体"/>
                <w:kern w:val="0"/>
                <w:sz w:val="21"/>
                <w:szCs w:val="21"/>
              </w:rPr>
              <w:t>具有以下情形之一：</w:t>
            </w:r>
          </w:p>
          <w:p w14:paraId="05C51033">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1.养老机构有歧视、侮辱、虐待老年人以及其他侵害老年人人身和财产权益行为1次，未取得老年人及家属谅解；</w:t>
            </w:r>
          </w:p>
          <w:p w14:paraId="2D60856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2.养老机构有歧视、侮辱、虐待老年人以及其他侵害老年人人身和财产权益行为2至3次，或者产生一定社会影响；</w:t>
            </w:r>
          </w:p>
          <w:p w14:paraId="5865E138">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3.经责令限期改正后拒不改正。</w:t>
            </w:r>
          </w:p>
        </w:tc>
        <w:tc>
          <w:tcPr>
            <w:tcW w:w="612" w:type="pct"/>
            <w:noWrap/>
            <w:vAlign w:val="center"/>
          </w:tcPr>
          <w:p w14:paraId="74AAF0A2">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处一万元以上不超过二万元罚款。</w:t>
            </w:r>
          </w:p>
        </w:tc>
      </w:tr>
      <w:tr w14:paraId="17C2E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201" w:type="pct"/>
            <w:gridSpan w:val="2"/>
            <w:vMerge w:val="restart"/>
            <w:vAlign w:val="center"/>
          </w:tcPr>
          <w:p w14:paraId="22FE45F0">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120</w:t>
            </w:r>
          </w:p>
        </w:tc>
        <w:tc>
          <w:tcPr>
            <w:tcW w:w="1050" w:type="pct"/>
            <w:vMerge w:val="restart"/>
            <w:vAlign w:val="center"/>
          </w:tcPr>
          <w:p w14:paraId="52D07D1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养老机构歧视、侮辱、虐待或遗弃老年人以及其他侵犯老年人合法权益。</w:t>
            </w:r>
          </w:p>
        </w:tc>
        <w:tc>
          <w:tcPr>
            <w:tcW w:w="939" w:type="pct"/>
            <w:vMerge w:val="restart"/>
            <w:vAlign w:val="center"/>
          </w:tcPr>
          <w:p w14:paraId="1BA1061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《山东省养老服务条例》第三十五条：养老机构及其工作人员应当尊重入住老年人的人格尊严，不得歧视、侮辱、虐待、遗弃老年人。</w:t>
            </w:r>
          </w:p>
        </w:tc>
        <w:tc>
          <w:tcPr>
            <w:tcW w:w="929" w:type="pct"/>
            <w:vMerge w:val="restart"/>
            <w:vAlign w:val="center"/>
          </w:tcPr>
          <w:p w14:paraId="3430224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七十条第四款：违反本条例规定，养老机构有下列行为之一的，由县级以上人民政府民政部门责令限期改正；情节严重的，处一万元以上三万元以下的罚款；可能危及人身健康和生命财产安全的，责令停业整顿，并处三万元以上十万元以下的罚款：</w:t>
            </w:r>
          </w:p>
          <w:p w14:paraId="0E54F7C1">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p w14:paraId="51CFBF1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（四）有歧视、侮辱、虐待、遗弃老年人或者其他侵犯老年人合法权益行为的；</w:t>
            </w:r>
          </w:p>
          <w:p w14:paraId="4F67C78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w:t>
            </w:r>
          </w:p>
        </w:tc>
        <w:tc>
          <w:tcPr>
            <w:tcW w:w="237" w:type="pct"/>
            <w:noWrap/>
            <w:vAlign w:val="center"/>
          </w:tcPr>
          <w:p w14:paraId="2FBBA4D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1CAFD809">
            <w:pPr>
              <w:adjustRightInd w:val="0"/>
              <w:snapToGrid w:val="0"/>
              <w:rPr>
                <w:rFonts w:hAnsi="宋体" w:cs="宋体"/>
                <w:kern w:val="0"/>
                <w:sz w:val="21"/>
                <w:szCs w:val="21"/>
              </w:rPr>
            </w:pPr>
            <w:r>
              <w:rPr>
                <w:rFonts w:hint="eastAsia" w:hAnsi="宋体" w:cs="宋体"/>
                <w:kern w:val="0"/>
                <w:sz w:val="21"/>
                <w:szCs w:val="21"/>
              </w:rPr>
              <w:t>具有以下情形之一：</w:t>
            </w:r>
          </w:p>
          <w:p w14:paraId="49A49C7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1.养老机构有歧视、侮辱、虐待老年人以及其他侵害老年人人身和财产权益行为3至4次或者违法行为造成较重后果或者社会影响较大；</w:t>
            </w:r>
          </w:p>
          <w:p w14:paraId="2B44817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2.一年内累计有2次以上违法行为。</w:t>
            </w:r>
          </w:p>
        </w:tc>
        <w:tc>
          <w:tcPr>
            <w:tcW w:w="612" w:type="pct"/>
            <w:noWrap/>
            <w:vAlign w:val="center"/>
          </w:tcPr>
          <w:p w14:paraId="484F165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处二万元以上不超过三万元罚款。</w:t>
            </w:r>
          </w:p>
        </w:tc>
      </w:tr>
      <w:tr w14:paraId="43C7D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201" w:type="pct"/>
            <w:gridSpan w:val="2"/>
            <w:vMerge w:val="continue"/>
            <w:vAlign w:val="center"/>
          </w:tcPr>
          <w:p w14:paraId="56A30825">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6427FD83">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5D806F0B">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2279F891">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129B3CA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47374E7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养老机构有歧视、侮辱、虐待老年人以及其他侵害老年人人身和财产权益行为5次以上的或者造成严重后果，或者造成严重社会影响，或者造成老年人死亡。</w:t>
            </w:r>
          </w:p>
        </w:tc>
        <w:tc>
          <w:tcPr>
            <w:tcW w:w="612" w:type="pct"/>
            <w:noWrap/>
            <w:vAlign w:val="center"/>
          </w:tcPr>
          <w:p w14:paraId="77E50D4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责令停业整顿，并处三万元以上十万元以下的罚款。</w:t>
            </w:r>
          </w:p>
        </w:tc>
      </w:tr>
      <w:tr w14:paraId="47C2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201" w:type="pct"/>
            <w:gridSpan w:val="2"/>
            <w:vMerge w:val="restart"/>
            <w:noWrap/>
            <w:vAlign w:val="center"/>
          </w:tcPr>
          <w:p w14:paraId="32956F05">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121</w:t>
            </w:r>
          </w:p>
        </w:tc>
        <w:tc>
          <w:tcPr>
            <w:tcW w:w="1050" w:type="pct"/>
            <w:vMerge w:val="restart"/>
            <w:noWrap/>
            <w:vAlign w:val="center"/>
          </w:tcPr>
          <w:p w14:paraId="23FA9536">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单位或个人采用虚报、隐瞒、伪造等手段，骗取政府养老服务补助、补贴、奖励。</w:t>
            </w:r>
          </w:p>
        </w:tc>
        <w:tc>
          <w:tcPr>
            <w:tcW w:w="939" w:type="pct"/>
            <w:vMerge w:val="restart"/>
            <w:noWrap/>
            <w:vAlign w:val="center"/>
          </w:tcPr>
          <w:p w14:paraId="5E95AC5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《山东省养老服务条例》第七十一条：违反本条例规定，单位或者个人采用虚报、隐瞒、伪造等手段，骗取政府养老服务补助、补贴、奖励的。</w:t>
            </w:r>
          </w:p>
        </w:tc>
        <w:tc>
          <w:tcPr>
            <w:tcW w:w="929" w:type="pct"/>
            <w:vMerge w:val="restart"/>
            <w:noWrap/>
            <w:vAlign w:val="center"/>
          </w:tcPr>
          <w:p w14:paraId="532DEBE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七十一条：违反本条例规定，单位或者个人采用虚报、隐瞒、伪造等手段，骗取政府养老服务补助、补贴、奖励的，由县级以上人民政府民政部门责令退回，给予警告，处骗取资金数额百分之十以上百分之五十以下的罚款。</w:t>
            </w:r>
          </w:p>
        </w:tc>
        <w:tc>
          <w:tcPr>
            <w:tcW w:w="237" w:type="pct"/>
            <w:noWrap/>
            <w:vAlign w:val="center"/>
          </w:tcPr>
          <w:p w14:paraId="6CDC1911">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从轻处罚</w:t>
            </w:r>
          </w:p>
        </w:tc>
        <w:tc>
          <w:tcPr>
            <w:tcW w:w="1028" w:type="pct"/>
            <w:noWrap/>
            <w:vAlign w:val="center"/>
          </w:tcPr>
          <w:p w14:paraId="7A37312A">
            <w:pPr>
              <w:adjustRightInd w:val="0"/>
              <w:snapToGrid w:val="0"/>
              <w:rPr>
                <w:rFonts w:hAnsi="宋体" w:cs="宋体"/>
                <w:kern w:val="0"/>
                <w:sz w:val="21"/>
                <w:szCs w:val="21"/>
              </w:rPr>
            </w:pPr>
            <w:r>
              <w:rPr>
                <w:rFonts w:hint="eastAsia" w:hAnsi="宋体" w:cs="宋体"/>
                <w:kern w:val="0"/>
                <w:sz w:val="21"/>
                <w:szCs w:val="21"/>
              </w:rPr>
              <w:t>具有以下情形之一：</w:t>
            </w:r>
          </w:p>
          <w:p w14:paraId="2A9BA0C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1.单位采用虚报、隐瞒、伪造等手段，骗取政府养老服务补助、补贴、奖励，数额不超过十万元，未造成社会影响。</w:t>
            </w:r>
          </w:p>
          <w:p w14:paraId="2C65FD0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2.个人采用虚报、隐瞒、伪造等手段，骗取政府养老服务补助、补贴、奖励，数额不超过一万元。</w:t>
            </w:r>
          </w:p>
        </w:tc>
        <w:tc>
          <w:tcPr>
            <w:tcW w:w="612" w:type="pct"/>
            <w:noWrap/>
            <w:vAlign w:val="center"/>
          </w:tcPr>
          <w:p w14:paraId="55F4FE5F">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警告并责令退回，处骗取资金数额百分之十以上不超过百分之二十的罚款。</w:t>
            </w:r>
          </w:p>
        </w:tc>
      </w:tr>
      <w:tr w14:paraId="09CA0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82" w:hRule="exact"/>
          <w:jc w:val="center"/>
        </w:trPr>
        <w:tc>
          <w:tcPr>
            <w:tcW w:w="201" w:type="pct"/>
            <w:gridSpan w:val="2"/>
            <w:vMerge w:val="continue"/>
            <w:vAlign w:val="center"/>
          </w:tcPr>
          <w:p w14:paraId="337B34CC">
            <w:pPr>
              <w:adjustRightInd w:val="0"/>
              <w:snapToGrid w:val="0"/>
              <w:jc w:val="center"/>
              <w:rPr>
                <w:rFonts w:hAnsi="宋体" w:cs="宋体"/>
                <w:color w:val="000000" w:themeColor="text1"/>
                <w:kern w:val="0"/>
                <w:sz w:val="21"/>
                <w:szCs w:val="21"/>
                <w14:textFill>
                  <w14:solidFill>
                    <w14:schemeClr w14:val="tx1"/>
                  </w14:solidFill>
                </w14:textFill>
              </w:rPr>
            </w:pPr>
          </w:p>
        </w:tc>
        <w:tc>
          <w:tcPr>
            <w:tcW w:w="1050" w:type="pct"/>
            <w:vMerge w:val="continue"/>
            <w:vAlign w:val="center"/>
          </w:tcPr>
          <w:p w14:paraId="75682B37">
            <w:pPr>
              <w:adjustRightInd w:val="0"/>
              <w:snapToGrid w:val="0"/>
              <w:rPr>
                <w:rFonts w:hAnsi="宋体" w:cs="宋体"/>
                <w:color w:val="000000" w:themeColor="text1"/>
                <w:kern w:val="0"/>
                <w:sz w:val="21"/>
                <w:szCs w:val="21"/>
                <w14:textFill>
                  <w14:solidFill>
                    <w14:schemeClr w14:val="tx1"/>
                  </w14:solidFill>
                </w14:textFill>
              </w:rPr>
            </w:pPr>
          </w:p>
        </w:tc>
        <w:tc>
          <w:tcPr>
            <w:tcW w:w="939" w:type="pct"/>
            <w:vMerge w:val="continue"/>
            <w:vAlign w:val="center"/>
          </w:tcPr>
          <w:p w14:paraId="5459394B">
            <w:pPr>
              <w:adjustRightInd w:val="0"/>
              <w:snapToGrid w:val="0"/>
              <w:rPr>
                <w:rFonts w:hAnsi="宋体" w:cs="宋体"/>
                <w:color w:val="000000" w:themeColor="text1"/>
                <w:kern w:val="0"/>
                <w:sz w:val="21"/>
                <w:szCs w:val="21"/>
                <w14:textFill>
                  <w14:solidFill>
                    <w14:schemeClr w14:val="tx1"/>
                  </w14:solidFill>
                </w14:textFill>
              </w:rPr>
            </w:pPr>
          </w:p>
        </w:tc>
        <w:tc>
          <w:tcPr>
            <w:tcW w:w="929" w:type="pct"/>
            <w:vMerge w:val="continue"/>
            <w:vAlign w:val="center"/>
          </w:tcPr>
          <w:p w14:paraId="6E8B2F22">
            <w:pPr>
              <w:adjustRightInd w:val="0"/>
              <w:snapToGrid w:val="0"/>
              <w:rPr>
                <w:rFonts w:hAnsi="宋体" w:cs="宋体"/>
                <w:color w:val="000000" w:themeColor="text1"/>
                <w:kern w:val="0"/>
                <w:sz w:val="21"/>
                <w:szCs w:val="21"/>
                <w14:textFill>
                  <w14:solidFill>
                    <w14:schemeClr w14:val="tx1"/>
                  </w14:solidFill>
                </w14:textFill>
              </w:rPr>
            </w:pPr>
          </w:p>
        </w:tc>
        <w:tc>
          <w:tcPr>
            <w:tcW w:w="237" w:type="pct"/>
            <w:noWrap/>
            <w:vAlign w:val="center"/>
          </w:tcPr>
          <w:p w14:paraId="2954A5E4">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一般处罚</w:t>
            </w:r>
          </w:p>
        </w:tc>
        <w:tc>
          <w:tcPr>
            <w:tcW w:w="1028" w:type="pct"/>
            <w:noWrap/>
            <w:vAlign w:val="center"/>
          </w:tcPr>
          <w:p w14:paraId="3AD89F3D">
            <w:pPr>
              <w:adjustRightInd w:val="0"/>
              <w:snapToGrid w:val="0"/>
              <w:rPr>
                <w:rFonts w:hAnsi="宋体" w:cs="宋体"/>
                <w:kern w:val="0"/>
                <w:sz w:val="21"/>
                <w:szCs w:val="21"/>
              </w:rPr>
            </w:pPr>
            <w:r>
              <w:rPr>
                <w:rFonts w:hint="eastAsia" w:hAnsi="宋体" w:cs="宋体"/>
                <w:kern w:val="0"/>
                <w:sz w:val="21"/>
                <w:szCs w:val="21"/>
              </w:rPr>
              <w:t>具有以下情形之一：</w:t>
            </w:r>
          </w:p>
          <w:p w14:paraId="2B4C9ED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1.单位采用虚报、隐瞒、伪造等手段，骗取政府养老服务补助、补贴、奖励，数额十万元以上不超过三十万元。</w:t>
            </w:r>
          </w:p>
          <w:p w14:paraId="78A3532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2.个人采用虚报、隐瞒、伪造等手段，骗取政府养老服务补助、补贴、奖励，数额一万元以上不超过五万元。</w:t>
            </w:r>
          </w:p>
        </w:tc>
        <w:tc>
          <w:tcPr>
            <w:tcW w:w="612" w:type="pct"/>
            <w:noWrap/>
            <w:vAlign w:val="center"/>
          </w:tcPr>
          <w:p w14:paraId="180C628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警告并责令退回，处骗取资金数额百分之二十以上不超过百分之三十的罚款。</w:t>
            </w:r>
          </w:p>
        </w:tc>
      </w:tr>
      <w:tr w14:paraId="3079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343" w:hRule="exact"/>
          <w:jc w:val="center"/>
        </w:trPr>
        <w:tc>
          <w:tcPr>
            <w:tcW w:w="201" w:type="pct"/>
            <w:gridSpan w:val="2"/>
            <w:vAlign w:val="center"/>
          </w:tcPr>
          <w:p w14:paraId="675AC24D">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121</w:t>
            </w:r>
          </w:p>
        </w:tc>
        <w:tc>
          <w:tcPr>
            <w:tcW w:w="1050" w:type="pct"/>
            <w:vAlign w:val="center"/>
          </w:tcPr>
          <w:p w14:paraId="55EAA319">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单位或个人采用虚报、隐瞒、伪造等手段，骗取政府养老服务补助、补贴、奖励。</w:t>
            </w:r>
          </w:p>
        </w:tc>
        <w:tc>
          <w:tcPr>
            <w:tcW w:w="939" w:type="pct"/>
            <w:vAlign w:val="center"/>
          </w:tcPr>
          <w:p w14:paraId="09D70E1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《山东省养老服务条例》第七十一条：违反本条例规定，单位或者个人采用虚报、隐瞒、伪造等手段，骗取政府养老服务补助、补贴、奖励的。</w:t>
            </w:r>
          </w:p>
        </w:tc>
        <w:tc>
          <w:tcPr>
            <w:tcW w:w="929" w:type="pct"/>
            <w:vAlign w:val="center"/>
          </w:tcPr>
          <w:p w14:paraId="7E3136CE">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山东省养老服务条例》第七十一条：违反本条例规定，单位或者个人采用虚报、隐瞒、伪造等手段，骗取政府养老服务补助、补贴、奖励的，由县级以上人民政府民政部门责令退回，给予警告，处骗取资金数额百分之十以上百分之五十以下的罚款。</w:t>
            </w:r>
          </w:p>
        </w:tc>
        <w:tc>
          <w:tcPr>
            <w:tcW w:w="237" w:type="pct"/>
            <w:noWrap/>
            <w:vAlign w:val="center"/>
          </w:tcPr>
          <w:p w14:paraId="70C7B0A7">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从重处罚</w:t>
            </w:r>
          </w:p>
        </w:tc>
        <w:tc>
          <w:tcPr>
            <w:tcW w:w="1028" w:type="pct"/>
            <w:noWrap/>
            <w:vAlign w:val="center"/>
          </w:tcPr>
          <w:p w14:paraId="5EA915AA">
            <w:pPr>
              <w:adjustRightInd w:val="0"/>
              <w:snapToGrid w:val="0"/>
              <w:rPr>
                <w:rFonts w:hAnsi="宋体" w:cs="宋体"/>
                <w:kern w:val="0"/>
                <w:sz w:val="21"/>
                <w:szCs w:val="21"/>
              </w:rPr>
            </w:pPr>
            <w:r>
              <w:rPr>
                <w:rFonts w:hint="eastAsia" w:hAnsi="宋体" w:cs="宋体"/>
                <w:kern w:val="0"/>
                <w:sz w:val="21"/>
                <w:szCs w:val="21"/>
              </w:rPr>
              <w:t>具有以下情形之一：</w:t>
            </w:r>
          </w:p>
          <w:p w14:paraId="093407BA">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1.单位采用虚报、隐瞒、伪造等手段，骗取政府养老服务补助、补贴、奖励，数额在三十万元以上，或者数额未达到三十万元，但产生严重社会影响。</w:t>
            </w:r>
          </w:p>
          <w:p w14:paraId="5818C7ED">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2.个人采用虚报、隐瞒、伪造等手段，骗取政府养老服务补助、补贴、奖励，数额在五万元以上。</w:t>
            </w:r>
          </w:p>
        </w:tc>
        <w:tc>
          <w:tcPr>
            <w:tcW w:w="612" w:type="pct"/>
            <w:noWrap/>
            <w:vAlign w:val="center"/>
          </w:tcPr>
          <w:p w14:paraId="592439E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警告并责令退回，处骗取资金数额百分之三十以上百分之五十以下的罚款。</w:t>
            </w:r>
          </w:p>
        </w:tc>
      </w:tr>
      <w:tr w14:paraId="07DA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54" w:hRule="atLeast"/>
          <w:jc w:val="center"/>
        </w:trPr>
        <w:tc>
          <w:tcPr>
            <w:tcW w:w="201" w:type="pct"/>
            <w:gridSpan w:val="2"/>
            <w:noWrap/>
            <w:vAlign w:val="center"/>
          </w:tcPr>
          <w:p w14:paraId="6C2007F6">
            <w:pPr>
              <w:adjustRightInd w:val="0"/>
              <w:snapToGrid w:val="0"/>
              <w:jc w:val="center"/>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说明</w:t>
            </w:r>
          </w:p>
        </w:tc>
        <w:tc>
          <w:tcPr>
            <w:tcW w:w="4798" w:type="pct"/>
            <w:gridSpan w:val="6"/>
            <w:noWrap/>
            <w:vAlign w:val="center"/>
          </w:tcPr>
          <w:p w14:paraId="4EBACC37">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1.坚持处罚与教育相结合，发挥行政处罚教育引导公民、法人和其他组织自觉守法的作用。不予处罚、减轻处罚、从轻处罚、从重处罚等裁量阶次，《基准》没有明确的，依照《中华人民共和国行政处罚法》以及有关规定执行。对违法行为依法不予行政处罚的，要加强对当事人的批评教育，防止违法行为再次发生。</w:t>
            </w:r>
          </w:p>
          <w:p w14:paraId="07E4C395">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2.各市民政部门可结合实际，在《基准》划定的阶次或者幅度内对《基准》进一步细化。</w:t>
            </w:r>
          </w:p>
          <w:p w14:paraId="512FAF0C">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3.要在全面调查、准确认定违法行为及违法事实的基础上，对照《基准》实施行政处罚。在行政处罚决定书中，要明确行政处罚裁量基准的适用情况。</w:t>
            </w:r>
          </w:p>
          <w:p w14:paraId="6E8F08F4">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4.需要与《基准》“处罚标准”一栏涉及的行政处罚种类一并适用的责令改正、责令停止违法行为、责令退回款物、责令恢复原状、责令支付修复标志物费用、取缔等其他行政措施，按照有关法律、法规、规章的规定执行。</w:t>
            </w:r>
          </w:p>
          <w:p w14:paraId="60DA66B0">
            <w:pPr>
              <w:adjustRightInd w:val="0"/>
              <w:snapToGrid w:val="0"/>
              <w:rPr>
                <w:rFonts w:hAnsi="宋体" w:cs="宋体"/>
                <w:color w:val="000000" w:themeColor="text1"/>
                <w:kern w:val="0"/>
                <w:sz w:val="21"/>
                <w:szCs w:val="21"/>
                <w14:textFill>
                  <w14:solidFill>
                    <w14:schemeClr w14:val="tx1"/>
                  </w14:solidFill>
                </w14:textFill>
              </w:rPr>
            </w:pPr>
            <w:r>
              <w:rPr>
                <w:rFonts w:hint="eastAsia" w:hAnsi="宋体" w:cs="宋体"/>
                <w:color w:val="000000" w:themeColor="text1"/>
                <w:kern w:val="0"/>
                <w:sz w:val="21"/>
                <w:szCs w:val="21"/>
                <w14:textFill>
                  <w14:solidFill>
                    <w14:schemeClr w14:val="tx1"/>
                  </w14:solidFill>
                </w14:textFill>
              </w:rPr>
              <w:t>5.裁量基准有效期内，行政处罚依据的法律、法规、规章发生调整变化的，按照新的法律、法规、规章执行。</w:t>
            </w:r>
          </w:p>
          <w:p w14:paraId="66521808">
            <w:pPr>
              <w:adjustRightInd w:val="0"/>
              <w:snapToGrid w:val="0"/>
              <w:rPr>
                <w:rFonts w:hAnsi="宋体" w:cs="宋体"/>
                <w:color w:val="000000" w:themeColor="text1"/>
                <w:kern w:val="0"/>
                <w:sz w:val="21"/>
                <w:szCs w:val="21"/>
                <w14:textFill>
                  <w14:solidFill>
                    <w14:schemeClr w14:val="tx1"/>
                  </w14:solidFill>
                </w14:textFill>
              </w:rPr>
            </w:pPr>
            <w:r>
              <w:rPr>
                <w:rFonts w:hAnsi="宋体" w:cs="宋体"/>
                <w:color w:val="000000" w:themeColor="text1"/>
                <w:kern w:val="0"/>
                <w:sz w:val="21"/>
                <w:szCs w:val="21"/>
                <w14:textFill>
                  <w14:solidFill>
                    <w14:schemeClr w14:val="tx1"/>
                  </w14:solidFill>
                </w14:textFill>
              </w:rPr>
              <w:t>6</w:t>
            </w:r>
            <w:r>
              <w:rPr>
                <w:rFonts w:hint="eastAsia" w:hAnsi="宋体" w:cs="宋体"/>
                <w:color w:val="000000" w:themeColor="text1"/>
                <w:kern w:val="0"/>
                <w:sz w:val="21"/>
                <w:szCs w:val="21"/>
                <w14:textFill>
                  <w14:solidFill>
                    <w14:schemeClr w14:val="tx1"/>
                  </w14:solidFill>
                </w14:textFill>
              </w:rPr>
              <w:t>.《基准》实行动态调整管理，对涉及民政领域法律、法规、规章调整的，省民政厅及时对相关行政处罚事项的裁量基准进行调整并予以公布。</w:t>
            </w:r>
          </w:p>
        </w:tc>
      </w:tr>
    </w:tbl>
    <w:p w14:paraId="1F59C7B3">
      <w:pPr>
        <w:keepNext w:val="0"/>
        <w:keepLines w:val="0"/>
        <w:pageBreakBefore w:val="0"/>
        <w:widowControl w:val="0"/>
        <w:kinsoku/>
        <w:wordWrap/>
        <w:overflowPunct/>
        <w:topLinePunct w:val="0"/>
        <w:autoSpaceDE/>
        <w:autoSpaceDN/>
        <w:bidi w:val="0"/>
        <w:adjustRightInd w:val="0"/>
        <w:snapToGrid w:val="0"/>
        <w:spacing w:line="20" w:lineRule="exact"/>
        <w:textAlignment w:val="auto"/>
        <w:rPr>
          <w:rFonts w:ascii="仿宋_GB2312" w:hAnsi="仿宋_GB2312" w:eastAsia="仿宋_GB2312" w:cs="仿宋_GB2312"/>
          <w:kern w:val="0"/>
        </w:rPr>
      </w:pPr>
      <w:r>
        <w:rPr>
          <w:rFonts w:ascii="仿宋_GB2312" w:hAnsi="仿宋_GB2312" w:eastAsia="仿宋_GB2312" w:cs="仿宋_GB2312"/>
          <w:kern w:val="0"/>
        </w:rPr>
        <w:br w:type="page"/>
      </w:r>
    </w:p>
    <w:p w14:paraId="136B9126">
      <w:pPr>
        <w:widowControl/>
        <w:jc w:val="left"/>
        <w:rPr>
          <w:rFonts w:ascii="仿宋_GB2312" w:hAnsi="仿宋_GB2312" w:eastAsia="仿宋_GB2312" w:cs="仿宋_GB2312"/>
          <w:kern w:val="0"/>
        </w:rPr>
        <w:sectPr>
          <w:footerReference r:id="rId3" w:type="default"/>
          <w:pgSz w:w="16838" w:h="11906" w:orient="landscape"/>
          <w:pgMar w:top="1418" w:right="1474" w:bottom="1418" w:left="1474" w:header="851" w:footer="1191" w:gutter="0"/>
          <w:cols w:space="425" w:num="1"/>
          <w:docGrid w:type="lines" w:linePitch="435" w:charSpace="0"/>
        </w:sectPr>
      </w:pPr>
    </w:p>
    <w:p w14:paraId="2E92256B">
      <w:pPr>
        <w:rPr>
          <w:rFonts w:ascii="黑体" w:eastAsia="黑体" w:cs="黑体"/>
          <w:color w:val="000000"/>
        </w:rPr>
      </w:pPr>
    </w:p>
    <w:p w14:paraId="3E9821B3">
      <w:pPr>
        <w:pStyle w:val="9"/>
        <w:spacing w:after="120"/>
      </w:pPr>
    </w:p>
    <w:p w14:paraId="44961234">
      <w:pPr>
        <w:pStyle w:val="9"/>
        <w:spacing w:after="120"/>
      </w:pPr>
    </w:p>
    <w:p w14:paraId="54AF6E68">
      <w:pPr>
        <w:pStyle w:val="9"/>
        <w:spacing w:after="120"/>
      </w:pPr>
    </w:p>
    <w:p w14:paraId="60E8A40D">
      <w:pPr>
        <w:pStyle w:val="9"/>
        <w:spacing w:after="120"/>
      </w:pPr>
    </w:p>
    <w:p w14:paraId="00B71C4D">
      <w:pPr>
        <w:pStyle w:val="9"/>
        <w:spacing w:after="120"/>
      </w:pPr>
    </w:p>
    <w:p w14:paraId="58F6E7EE">
      <w:pPr>
        <w:pStyle w:val="9"/>
        <w:spacing w:after="120"/>
      </w:pPr>
    </w:p>
    <w:p w14:paraId="365A6DA6">
      <w:pPr>
        <w:pStyle w:val="9"/>
        <w:spacing w:after="120"/>
      </w:pPr>
    </w:p>
    <w:p w14:paraId="05C3A294">
      <w:pPr>
        <w:pStyle w:val="9"/>
        <w:spacing w:after="120"/>
      </w:pPr>
    </w:p>
    <w:p w14:paraId="70D6EAD9">
      <w:pPr>
        <w:pStyle w:val="9"/>
        <w:spacing w:after="120"/>
      </w:pPr>
    </w:p>
    <w:p w14:paraId="38529A81">
      <w:pPr>
        <w:pStyle w:val="9"/>
        <w:spacing w:after="120"/>
      </w:pPr>
    </w:p>
    <w:p w14:paraId="6C651DF4">
      <w:pPr>
        <w:pStyle w:val="9"/>
        <w:spacing w:after="120"/>
      </w:pPr>
    </w:p>
    <w:p w14:paraId="7E67FDAF">
      <w:pPr>
        <w:pStyle w:val="9"/>
        <w:spacing w:after="120"/>
      </w:pPr>
    </w:p>
    <w:p w14:paraId="3B8F9D1D">
      <w:pPr>
        <w:pStyle w:val="9"/>
        <w:spacing w:after="120"/>
      </w:pPr>
    </w:p>
    <w:p w14:paraId="423A7CB2">
      <w:pPr>
        <w:pStyle w:val="9"/>
        <w:spacing w:after="120"/>
      </w:pPr>
    </w:p>
    <w:p w14:paraId="1383B462">
      <w:pPr>
        <w:pStyle w:val="9"/>
        <w:spacing w:after="120"/>
      </w:pPr>
    </w:p>
    <w:p w14:paraId="6B5BF1CA">
      <w:pPr>
        <w:pStyle w:val="9"/>
        <w:spacing w:after="120"/>
      </w:pPr>
    </w:p>
    <w:p w14:paraId="26D1BE94">
      <w:pPr>
        <w:pStyle w:val="9"/>
        <w:spacing w:after="120"/>
      </w:pPr>
    </w:p>
    <w:p w14:paraId="71C3B8E2">
      <w:pPr>
        <w:pStyle w:val="9"/>
        <w:spacing w:after="120"/>
      </w:pPr>
    </w:p>
    <w:p w14:paraId="5CB1795E">
      <w:pPr>
        <w:pStyle w:val="9"/>
        <w:spacing w:after="120"/>
      </w:pPr>
    </w:p>
    <w:p w14:paraId="73402AB5">
      <w:pPr>
        <w:pStyle w:val="9"/>
        <w:spacing w:after="120"/>
      </w:pPr>
    </w:p>
    <w:p w14:paraId="22C50689">
      <w:pPr>
        <w:pStyle w:val="9"/>
        <w:spacing w:after="120"/>
      </w:pPr>
    </w:p>
    <w:p w14:paraId="794DB125">
      <w:pPr>
        <w:pStyle w:val="9"/>
        <w:spacing w:after="120"/>
      </w:pPr>
    </w:p>
    <w:p w14:paraId="029E781B">
      <w:pPr>
        <w:pStyle w:val="9"/>
        <w:spacing w:after="120"/>
      </w:pPr>
    </w:p>
    <w:p w14:paraId="5DD443F4">
      <w:pPr>
        <w:pStyle w:val="9"/>
        <w:spacing w:after="120"/>
      </w:pPr>
    </w:p>
    <w:p w14:paraId="48028BDC">
      <w:pPr>
        <w:pStyle w:val="9"/>
      </w:pPr>
    </w:p>
    <w:p w14:paraId="6F151576">
      <w:pPr>
        <w:pStyle w:val="9"/>
      </w:pPr>
    </w:p>
    <w:p w14:paraId="259BF0D3">
      <w:pPr>
        <w:spacing w:line="100" w:lineRule="exact"/>
        <w:rPr>
          <w:rFonts w:hAnsi="仿宋"/>
          <w:b/>
          <w:sz w:val="20"/>
          <w:szCs w:val="28"/>
        </w:rPr>
      </w:pPr>
    </w:p>
    <w:p w14:paraId="567B5517">
      <w:pPr>
        <w:adjustRightInd w:val="0"/>
        <w:snapToGrid w:val="0"/>
        <w:spacing w:line="600" w:lineRule="exact"/>
        <w:ind w:left="160" w:leftChars="50" w:firstLine="140" w:firstLineChars="50"/>
        <w:rPr>
          <w:rFonts w:ascii="仿宋_GB2312" w:hAnsi="仿宋_GB2312" w:eastAsia="仿宋_GB2312" w:cs="仿宋_GB2312"/>
          <w:sz w:val="28"/>
        </w:rPr>
      </w:pPr>
    </w:p>
    <w:p w14:paraId="0EE1C549">
      <w:pPr>
        <w:adjustRightInd w:val="0"/>
        <w:snapToGrid w:val="0"/>
        <w:spacing w:line="600" w:lineRule="exact"/>
        <w:ind w:left="160" w:leftChars="50" w:firstLine="160" w:firstLineChars="50"/>
        <w:rPr>
          <w:rFonts w:ascii="仿宋_GB2312" w:hAnsi="仿宋_GB2312" w:eastAsia="仿宋_GB2312" w:cs="仿宋_GB2312"/>
          <w:sz w:val="28"/>
        </w:rPr>
      </w:pPr>
      <w:r>
        <w:rPr>
          <w:rFonts w:hint="eastAsia"/>
          <w:snapToGrid w:val="0"/>
          <w:lang w:bidi="mn-Mong-CN"/>
        </w:rPr>
        <mc:AlternateContent>
          <mc:Choice Requires="wps">
            <w:drawing>
              <wp:anchor distT="0" distB="0" distL="114300" distR="114300" simplePos="0" relativeHeight="251660288" behindDoc="0" locked="0" layoutInCell="1" allowOverlap="1">
                <wp:simplePos x="0" y="0"/>
                <wp:positionH relativeFrom="column">
                  <wp:posOffset>-1270</wp:posOffset>
                </wp:positionH>
                <wp:positionV relativeFrom="paragraph">
                  <wp:posOffset>33020</wp:posOffset>
                </wp:positionV>
                <wp:extent cx="5652135" cy="0"/>
                <wp:effectExtent l="0" t="4445" r="0" b="5080"/>
                <wp:wrapNone/>
                <wp:docPr id="4" name="直线 21"/>
                <wp:cNvGraphicFramePr/>
                <a:graphic xmlns:a="http://schemas.openxmlformats.org/drawingml/2006/main">
                  <a:graphicData uri="http://schemas.microsoft.com/office/word/2010/wordprocessingShape">
                    <wps:wsp>
                      <wps:cNvCnPr/>
                      <wps:spPr>
                        <a:xfrm>
                          <a:off x="0" y="0"/>
                          <a:ext cx="56521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21" o:spid="_x0000_s1026" o:spt="20" style="position:absolute;left:0pt;margin-left:-0.1pt;margin-top:2.6pt;height:0pt;width:445.05pt;z-index:251660288;mso-width-relative:page;mso-height-relative:page;" filled="f" stroked="t" coordsize="21600,21600" o:gfxdata="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B/8YmfTAAAABQEAAA8AAAAA&#10;AAAAAQAgAAAAIgAAAGRycy9kb3ducmV2LnhtbFBLAQIUABQAAAAIAIdO4kBNFWjL4AEAANADAAAO&#10;AAAAAAAAAAEAIAAAACIBAABkcnMvZTJvRG9jLnhtbFBLBQYAAAAABgAGAFkBAAB0BQAAAAA=&#10;">
                <v:fill on="f" focussize="0,0"/>
                <v:stroke color="#000000" joinstyle="round"/>
                <v:imagedata o:title=""/>
                <o:lock v:ext="edit" aspectratio="f"/>
              </v:line>
            </w:pict>
          </mc:Fallback>
        </mc:AlternateContent>
      </w:r>
      <w:r>
        <w:rPr>
          <w:rFonts w:hint="eastAsia" w:ascii="仿宋_GB2312" w:hAnsi="仿宋_GB2312" w:eastAsia="仿宋_GB2312" w:cs="仿宋_GB2312"/>
          <w:sz w:val="28"/>
          <w:lang w:bidi="ar"/>
        </w:rPr>
        <w:t xml:space="preserve">山东省民政厅办公室                      </w:t>
      </w:r>
      <w:r>
        <w:rPr>
          <w:rFonts w:hint="eastAsia" w:ascii="仿宋_GB2312" w:hAnsi="Calibri Light" w:eastAsia="仿宋_GB2312" w:cs="仿宋_GB2312"/>
          <w:sz w:val="28"/>
          <w:lang w:bidi="ar"/>
        </w:rPr>
        <w:t>202</w:t>
      </w:r>
      <w:r>
        <w:rPr>
          <w:rFonts w:ascii="仿宋_GB2312" w:hAnsi="Calibri Light" w:eastAsia="仿宋_GB2312" w:cs="仿宋_GB2312"/>
          <w:sz w:val="28"/>
          <w:lang w:bidi="ar"/>
        </w:rPr>
        <w:t>6</w:t>
      </w:r>
      <w:r>
        <w:rPr>
          <w:rFonts w:hint="eastAsia" w:ascii="仿宋_GB2312" w:hAnsi="Calibri Light" w:eastAsia="仿宋_GB2312" w:cs="仿宋_GB2312"/>
          <w:sz w:val="28"/>
          <w:lang w:bidi="ar"/>
        </w:rPr>
        <w:t>年9月</w:t>
      </w:r>
      <w:r>
        <w:rPr>
          <w:rFonts w:ascii="仿宋_GB2312" w:hAnsi="Calibri Light" w:eastAsia="仿宋_GB2312" w:cs="仿宋_GB2312"/>
          <w:sz w:val="28"/>
          <w:lang w:bidi="ar"/>
        </w:rPr>
        <w:t>30</w:t>
      </w:r>
      <w:r>
        <w:rPr>
          <w:rFonts w:hint="eastAsia" w:ascii="仿宋_GB2312" w:hAnsi="Calibri Light" w:eastAsia="仿宋_GB2312" w:cs="仿宋_GB2312"/>
          <w:sz w:val="28"/>
          <w:lang w:bidi="ar"/>
        </w:rPr>
        <w:t>日印发</w:t>
      </w:r>
    </w:p>
    <w:p w14:paraId="6304B5DD">
      <w:pPr>
        <w:pStyle w:val="9"/>
        <w:spacing w:after="120" w:line="240" w:lineRule="exact"/>
        <w:ind w:firstLine="198"/>
        <w:rPr>
          <w:rFonts w:ascii="仿宋_GB2312" w:hAnsi="仿宋_GB2312" w:eastAsia="仿宋_GB2312" w:cs="仿宋_GB2312"/>
          <w:kern w:val="0"/>
        </w:rPr>
      </w:pPr>
      <w:r>
        <w:rPr>
          <w:rFonts w:hint="eastAsia"/>
          <w:sz w:val="32"/>
          <w:lang w:bidi="mn-Mong-CN"/>
        </w:rPr>
        <mc:AlternateContent>
          <mc:Choice Requires="wps">
            <w:drawing>
              <wp:anchor distT="0" distB="0" distL="114300" distR="114300" simplePos="0" relativeHeight="251661312" behindDoc="0" locked="0" layoutInCell="1" allowOverlap="1">
                <wp:simplePos x="0" y="0"/>
                <wp:positionH relativeFrom="column">
                  <wp:posOffset>-3175</wp:posOffset>
                </wp:positionH>
                <wp:positionV relativeFrom="paragraph">
                  <wp:posOffset>38735</wp:posOffset>
                </wp:positionV>
                <wp:extent cx="5652135" cy="0"/>
                <wp:effectExtent l="0" t="4445" r="0" b="5080"/>
                <wp:wrapNone/>
                <wp:docPr id="3" name="直线 22"/>
                <wp:cNvGraphicFramePr/>
                <a:graphic xmlns:a="http://schemas.openxmlformats.org/drawingml/2006/main">
                  <a:graphicData uri="http://schemas.microsoft.com/office/word/2010/wordprocessingShape">
                    <wps:wsp>
                      <wps:cNvCnPr/>
                      <wps:spPr>
                        <a:xfrm>
                          <a:off x="0" y="0"/>
                          <a:ext cx="56521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22" o:spid="_x0000_s1026" o:spt="20" style="position:absolute;left:0pt;margin-left:-0.25pt;margin-top:3.05pt;height:0pt;width:445.05pt;z-index:251661312;mso-width-relative:page;mso-height-relative:page;" filled="f" stroked="t" coordsize="21600,21600" o:gfxdata="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Am2CtjTAAAABQEAAA8AAAAA&#10;AAAAAQAgAAAAIgAAAGRycy9kb3ducmV2LnhtbFBLAQIUABQAAAAIAIdO4kDk/jxK4AEAANADAAAO&#10;AAAAAAAAAAEAIAAAACIBAABkcnMvZTJvRG9jLnhtbFBLBQYAAAAABgAGAFkBAAB0BQAAAAA=&#10;">
                <v:fill on="f" focussize="0,0"/>
                <v:stroke color="#000000" joinstyle="round"/>
                <v:imagedata o:title=""/>
                <o:lock v:ext="edit" aspectratio="f"/>
              </v:line>
            </w:pict>
          </mc:Fallback>
        </mc:AlternateContent>
      </w:r>
    </w:p>
    <w:sectPr>
      <w:pgSz w:w="11906" w:h="16838"/>
      <w:pgMar w:top="2041" w:right="1474" w:bottom="1474" w:left="1474" w:header="851" w:footer="119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Calibri Light">
    <w:altName w:val="Times New Roman"/>
    <w:panose1 w:val="020F0302020204030204"/>
    <w:charset w:val="00"/>
    <w:family w:val="swiss"/>
    <w:pitch w:val="default"/>
    <w:sig w:usb0="00000000" w:usb1="00000000" w:usb2="00000009" w:usb3="00000000" w:csb0="200001FF" w:csb1="00000000"/>
  </w:font>
  <w:font w:name="仿宋">
    <w:altName w:val="仿宋_GB2312"/>
    <w:panose1 w:val="02010609060101010101"/>
    <w:charset w:val="86"/>
    <w:family w:val="modern"/>
    <w:pitch w:val="default"/>
    <w:sig w:usb0="00000000" w:usb1="00000000" w:usb2="00000016" w:usb3="00000000" w:csb0="00040001" w:csb1="00000000"/>
  </w:font>
  <w:font w:name="汉仪中秀体简">
    <w:altName w:val="华文仿宋"/>
    <w:panose1 w:val="00000000000000000000"/>
    <w:charset w:val="00"/>
    <w:family w:val="auto"/>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C1B35">
    <w:pPr>
      <w:pStyle w:val="6"/>
      <w:tabs>
        <w:tab w:val="left" w:pos="3280"/>
        <w:tab w:val="clear" w:pos="4153"/>
      </w:tabs>
    </w:pPr>
    <w:r>
      <w:rPr>
        <w:lang w:bidi="mn-Mong-CN"/>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74579B">
                          <w:pPr>
                            <w:pStyle w:val="6"/>
                            <w:adjustRightInd w:val="0"/>
                            <w:ind w:left="320" w:leftChars="100" w:right="320" w:rightChars="100"/>
                            <w:jc w:val="center"/>
                            <w:rPr>
                              <w:sz w:val="28"/>
                              <w:szCs w:val="28"/>
                            </w:rPr>
                          </w:pP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rFonts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174579B">
                    <w:pPr>
                      <w:pStyle w:val="6"/>
                      <w:adjustRightInd w:val="0"/>
                      <w:ind w:left="320" w:leftChars="100" w:right="320" w:rightChars="100"/>
                      <w:jc w:val="center"/>
                      <w:rPr>
                        <w:sz w:val="28"/>
                        <w:szCs w:val="28"/>
                      </w:rPr>
                    </w:pP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rFonts w:hint="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EB84D3"/>
    <w:multiLevelType w:val="singleLevel"/>
    <w:tmpl w:val="9BEB84D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60"/>
  <w:drawingGridVerticalSpacing w:val="43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Y0ZjE3ZjMzYTYzMGRkMTYzMTdhNDk0MTkwNDcwMDcifQ=="/>
  </w:docVars>
  <w:rsids>
    <w:rsidRoot w:val="00B01B58"/>
    <w:rsid w:val="0004093B"/>
    <w:rsid w:val="000558CA"/>
    <w:rsid w:val="00063CD7"/>
    <w:rsid w:val="00083512"/>
    <w:rsid w:val="000E5E08"/>
    <w:rsid w:val="00102660"/>
    <w:rsid w:val="00106893"/>
    <w:rsid w:val="001068E0"/>
    <w:rsid w:val="00107682"/>
    <w:rsid w:val="00116936"/>
    <w:rsid w:val="00147E75"/>
    <w:rsid w:val="00167F3D"/>
    <w:rsid w:val="00176636"/>
    <w:rsid w:val="00191C8B"/>
    <w:rsid w:val="001A327B"/>
    <w:rsid w:val="001E2CD3"/>
    <w:rsid w:val="0021756C"/>
    <w:rsid w:val="00277A14"/>
    <w:rsid w:val="00292130"/>
    <w:rsid w:val="002B44DD"/>
    <w:rsid w:val="002C3F43"/>
    <w:rsid w:val="002E19A1"/>
    <w:rsid w:val="003266A5"/>
    <w:rsid w:val="003A7889"/>
    <w:rsid w:val="0041720C"/>
    <w:rsid w:val="0047284E"/>
    <w:rsid w:val="0047589A"/>
    <w:rsid w:val="00484A26"/>
    <w:rsid w:val="004976F9"/>
    <w:rsid w:val="004D2A80"/>
    <w:rsid w:val="004E762A"/>
    <w:rsid w:val="004F1D3E"/>
    <w:rsid w:val="00524FC5"/>
    <w:rsid w:val="00583F8D"/>
    <w:rsid w:val="005C0B0F"/>
    <w:rsid w:val="00601829"/>
    <w:rsid w:val="00615021"/>
    <w:rsid w:val="006B4E50"/>
    <w:rsid w:val="00705D61"/>
    <w:rsid w:val="00722A69"/>
    <w:rsid w:val="00771097"/>
    <w:rsid w:val="00801CF0"/>
    <w:rsid w:val="008123B7"/>
    <w:rsid w:val="008239E1"/>
    <w:rsid w:val="00845702"/>
    <w:rsid w:val="00886629"/>
    <w:rsid w:val="0089076E"/>
    <w:rsid w:val="008D268B"/>
    <w:rsid w:val="0095411B"/>
    <w:rsid w:val="009A3F71"/>
    <w:rsid w:val="009B48B6"/>
    <w:rsid w:val="009C73E9"/>
    <w:rsid w:val="009D5022"/>
    <w:rsid w:val="009D6B8C"/>
    <w:rsid w:val="00A42549"/>
    <w:rsid w:val="00A45D40"/>
    <w:rsid w:val="00A54CEA"/>
    <w:rsid w:val="00A87480"/>
    <w:rsid w:val="00AA239F"/>
    <w:rsid w:val="00AB1040"/>
    <w:rsid w:val="00AB13F0"/>
    <w:rsid w:val="00AC31C4"/>
    <w:rsid w:val="00AF37B9"/>
    <w:rsid w:val="00B01B58"/>
    <w:rsid w:val="00B22224"/>
    <w:rsid w:val="00B40BB0"/>
    <w:rsid w:val="00B923DC"/>
    <w:rsid w:val="00BA30FE"/>
    <w:rsid w:val="00BB4D3D"/>
    <w:rsid w:val="00BC6574"/>
    <w:rsid w:val="00BF1A99"/>
    <w:rsid w:val="00BF3547"/>
    <w:rsid w:val="00BF5AB2"/>
    <w:rsid w:val="00C3214E"/>
    <w:rsid w:val="00C52FAF"/>
    <w:rsid w:val="00C9001F"/>
    <w:rsid w:val="00CC5469"/>
    <w:rsid w:val="00CD7346"/>
    <w:rsid w:val="00CE78E6"/>
    <w:rsid w:val="00D13C52"/>
    <w:rsid w:val="00D168CB"/>
    <w:rsid w:val="00D3756C"/>
    <w:rsid w:val="00D445E2"/>
    <w:rsid w:val="00D90BB3"/>
    <w:rsid w:val="00D93069"/>
    <w:rsid w:val="00DA5C95"/>
    <w:rsid w:val="00DB6798"/>
    <w:rsid w:val="00DF10B8"/>
    <w:rsid w:val="00E0128F"/>
    <w:rsid w:val="00E11F17"/>
    <w:rsid w:val="00E241F2"/>
    <w:rsid w:val="00E378A1"/>
    <w:rsid w:val="00EA0768"/>
    <w:rsid w:val="00EB6392"/>
    <w:rsid w:val="00EC005C"/>
    <w:rsid w:val="00ED4950"/>
    <w:rsid w:val="00F13B82"/>
    <w:rsid w:val="00F3491B"/>
    <w:rsid w:val="00F370DD"/>
    <w:rsid w:val="00F37D43"/>
    <w:rsid w:val="00F45520"/>
    <w:rsid w:val="00F7304D"/>
    <w:rsid w:val="00F76866"/>
    <w:rsid w:val="00F77100"/>
    <w:rsid w:val="03941C6E"/>
    <w:rsid w:val="040748B2"/>
    <w:rsid w:val="058626E5"/>
    <w:rsid w:val="08EC29C7"/>
    <w:rsid w:val="091C7001"/>
    <w:rsid w:val="0A945ABF"/>
    <w:rsid w:val="0BDB1103"/>
    <w:rsid w:val="0D1F05BA"/>
    <w:rsid w:val="0D3A4681"/>
    <w:rsid w:val="14A12D99"/>
    <w:rsid w:val="17D65BAB"/>
    <w:rsid w:val="1F396E36"/>
    <w:rsid w:val="230A1F70"/>
    <w:rsid w:val="29625ACF"/>
    <w:rsid w:val="2AAF7F42"/>
    <w:rsid w:val="2B8509F5"/>
    <w:rsid w:val="2EF23CBE"/>
    <w:rsid w:val="325925CC"/>
    <w:rsid w:val="350819BE"/>
    <w:rsid w:val="3633757E"/>
    <w:rsid w:val="36A302BA"/>
    <w:rsid w:val="37AE5168"/>
    <w:rsid w:val="3A49266D"/>
    <w:rsid w:val="3C2F48CF"/>
    <w:rsid w:val="40AF4836"/>
    <w:rsid w:val="438A6A89"/>
    <w:rsid w:val="45815C6A"/>
    <w:rsid w:val="461C7016"/>
    <w:rsid w:val="474E2263"/>
    <w:rsid w:val="49351245"/>
    <w:rsid w:val="4A18309E"/>
    <w:rsid w:val="4B165EBE"/>
    <w:rsid w:val="4CFC309A"/>
    <w:rsid w:val="4E137126"/>
    <w:rsid w:val="4E937674"/>
    <w:rsid w:val="4F9A042C"/>
    <w:rsid w:val="50373AF5"/>
    <w:rsid w:val="5055171C"/>
    <w:rsid w:val="511C43E3"/>
    <w:rsid w:val="553F48CB"/>
    <w:rsid w:val="5A497766"/>
    <w:rsid w:val="5CAB5675"/>
    <w:rsid w:val="619A462F"/>
    <w:rsid w:val="63C90AB0"/>
    <w:rsid w:val="67611457"/>
    <w:rsid w:val="69694C28"/>
    <w:rsid w:val="6DD80F51"/>
    <w:rsid w:val="6FFA7AEF"/>
    <w:rsid w:val="71255AB0"/>
    <w:rsid w:val="71B86786"/>
    <w:rsid w:val="7514569D"/>
    <w:rsid w:val="75E3180F"/>
    <w:rsid w:val="7A13262E"/>
    <w:rsid w:val="7B1C35A5"/>
    <w:rsid w:val="7CCA55A2"/>
    <w:rsid w:val="7EDFA2EF"/>
    <w:rsid w:val="7F0C2A46"/>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kern w:val="2"/>
      <w:sz w:val="32"/>
      <w:szCs w:val="3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style>
  <w:style w:type="paragraph" w:styleId="3">
    <w:name w:val="Body Text"/>
    <w:basedOn w:val="1"/>
    <w:link w:val="18"/>
    <w:qFormat/>
    <w:uiPriority w:val="0"/>
    <w:pPr>
      <w:spacing w:after="120"/>
    </w:pPr>
  </w:style>
  <w:style w:type="paragraph" w:styleId="4">
    <w:name w:val="Body Text Indent"/>
    <w:basedOn w:val="1"/>
    <w:link w:val="19"/>
    <w:qFormat/>
    <w:uiPriority w:val="0"/>
    <w:pPr>
      <w:spacing w:after="120"/>
      <w:ind w:left="420" w:leftChars="200"/>
    </w:pPr>
    <w:rPr>
      <w:rFonts w:ascii="Calibri" w:hAnsi="Calibri"/>
      <w:sz w:val="21"/>
      <w:szCs w:val="24"/>
    </w:rPr>
  </w:style>
  <w:style w:type="paragraph" w:styleId="5">
    <w:name w:val="Balloon Text"/>
    <w:basedOn w:val="1"/>
    <w:link w:val="20"/>
    <w:qFormat/>
    <w:uiPriority w:val="0"/>
    <w:rPr>
      <w:sz w:val="18"/>
      <w:szCs w:val="18"/>
    </w:rPr>
  </w:style>
  <w:style w:type="paragraph" w:styleId="6">
    <w:name w:val="footer"/>
    <w:basedOn w:val="1"/>
    <w:link w:val="16"/>
    <w:autoRedefine/>
    <w:unhideWhenUsed/>
    <w:qFormat/>
    <w:uiPriority w:val="99"/>
    <w:pPr>
      <w:tabs>
        <w:tab w:val="center" w:pos="4153"/>
        <w:tab w:val="right" w:pos="8306"/>
      </w:tabs>
      <w:snapToGrid w:val="0"/>
      <w:jc w:val="left"/>
    </w:pPr>
    <w:rPr>
      <w:sz w:val="18"/>
      <w:szCs w:val="18"/>
    </w:rPr>
  </w:style>
  <w:style w:type="paragraph" w:styleId="7">
    <w:name w:val="header"/>
    <w:basedOn w:val="1"/>
    <w:link w:val="15"/>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link w:val="21"/>
    <w:autoRedefine/>
    <w:qFormat/>
    <w:uiPriority w:val="0"/>
    <w:pPr>
      <w:spacing w:before="240" w:after="60" w:line="312" w:lineRule="auto"/>
      <w:jc w:val="center"/>
      <w:outlineLvl w:val="1"/>
    </w:pPr>
    <w:rPr>
      <w:rFonts w:ascii="Cambria" w:hAnsi="Cambria"/>
      <w:b/>
      <w:bCs/>
      <w:kern w:val="28"/>
    </w:rPr>
  </w:style>
  <w:style w:type="paragraph" w:styleId="9">
    <w:name w:val="Normal (Web)"/>
    <w:basedOn w:val="1"/>
    <w:autoRedefine/>
    <w:semiHidden/>
    <w:unhideWhenUsed/>
    <w:qFormat/>
    <w:uiPriority w:val="99"/>
    <w:rPr>
      <w:sz w:val="24"/>
    </w:rPr>
  </w:style>
  <w:style w:type="paragraph" w:styleId="10">
    <w:name w:val="Title"/>
    <w:basedOn w:val="1"/>
    <w:next w:val="1"/>
    <w:link w:val="24"/>
    <w:qFormat/>
    <w:uiPriority w:val="10"/>
    <w:pPr>
      <w:spacing w:before="240" w:after="60"/>
      <w:jc w:val="center"/>
      <w:outlineLvl w:val="0"/>
    </w:pPr>
    <w:rPr>
      <w:rFonts w:ascii="Cambria" w:hAnsi="Cambria"/>
      <w:b/>
      <w:bCs/>
    </w:rPr>
  </w:style>
  <w:style w:type="paragraph" w:styleId="11">
    <w:name w:val="Body Text First Indent 2"/>
    <w:basedOn w:val="4"/>
    <w:next w:val="10"/>
    <w:link w:val="23"/>
    <w:unhideWhenUsed/>
    <w:qFormat/>
    <w:uiPriority w:val="99"/>
    <w:pPr>
      <w:ind w:firstLine="420" w:firstLineChars="200"/>
    </w:pPr>
  </w:style>
  <w:style w:type="character" w:styleId="14">
    <w:name w:val="page number"/>
    <w:autoRedefine/>
    <w:qFormat/>
    <w:uiPriority w:val="0"/>
  </w:style>
  <w:style w:type="character" w:customStyle="1" w:styleId="15">
    <w:name w:val="页眉 Char"/>
    <w:basedOn w:val="13"/>
    <w:link w:val="7"/>
    <w:autoRedefine/>
    <w:qFormat/>
    <w:uiPriority w:val="0"/>
    <w:rPr>
      <w:sz w:val="18"/>
      <w:szCs w:val="18"/>
    </w:rPr>
  </w:style>
  <w:style w:type="character" w:customStyle="1" w:styleId="16">
    <w:name w:val="页脚 Char"/>
    <w:basedOn w:val="13"/>
    <w:link w:val="6"/>
    <w:autoRedefine/>
    <w:qFormat/>
    <w:uiPriority w:val="99"/>
    <w:rPr>
      <w:sz w:val="18"/>
      <w:szCs w:val="18"/>
    </w:rPr>
  </w:style>
  <w:style w:type="character" w:customStyle="1" w:styleId="17">
    <w:name w:val="批注文字 Char"/>
    <w:basedOn w:val="13"/>
    <w:link w:val="2"/>
    <w:autoRedefine/>
    <w:qFormat/>
    <w:uiPriority w:val="0"/>
    <w:rPr>
      <w:rFonts w:ascii="宋体" w:hAnsi="Times New Roman" w:eastAsia="宋体" w:cs="Times New Roman"/>
      <w:sz w:val="32"/>
      <w:szCs w:val="32"/>
    </w:rPr>
  </w:style>
  <w:style w:type="character" w:customStyle="1" w:styleId="18">
    <w:name w:val="正文文本 Char"/>
    <w:basedOn w:val="13"/>
    <w:link w:val="3"/>
    <w:autoRedefine/>
    <w:qFormat/>
    <w:uiPriority w:val="0"/>
    <w:rPr>
      <w:rFonts w:ascii="宋体" w:hAnsi="Times New Roman" w:eastAsia="宋体" w:cs="Times New Roman"/>
      <w:sz w:val="32"/>
      <w:szCs w:val="32"/>
    </w:rPr>
  </w:style>
  <w:style w:type="character" w:customStyle="1" w:styleId="19">
    <w:name w:val="正文文本缩进 Char"/>
    <w:basedOn w:val="13"/>
    <w:link w:val="4"/>
    <w:autoRedefine/>
    <w:qFormat/>
    <w:uiPriority w:val="0"/>
    <w:rPr>
      <w:rFonts w:ascii="Calibri" w:hAnsi="Calibri" w:eastAsia="宋体" w:cs="Times New Roman"/>
      <w:szCs w:val="24"/>
    </w:rPr>
  </w:style>
  <w:style w:type="character" w:customStyle="1" w:styleId="20">
    <w:name w:val="批注框文本 Char"/>
    <w:basedOn w:val="13"/>
    <w:link w:val="5"/>
    <w:autoRedefine/>
    <w:qFormat/>
    <w:uiPriority w:val="0"/>
    <w:rPr>
      <w:rFonts w:ascii="宋体" w:hAnsi="Times New Roman" w:eastAsia="宋体" w:cs="Times New Roman"/>
      <w:sz w:val="18"/>
      <w:szCs w:val="18"/>
    </w:rPr>
  </w:style>
  <w:style w:type="character" w:customStyle="1" w:styleId="21">
    <w:name w:val="副标题 Char"/>
    <w:basedOn w:val="13"/>
    <w:link w:val="8"/>
    <w:autoRedefine/>
    <w:qFormat/>
    <w:uiPriority w:val="0"/>
    <w:rPr>
      <w:rFonts w:ascii="Cambria" w:hAnsi="Cambria" w:eastAsia="宋体" w:cs="Times New Roman"/>
      <w:b/>
      <w:bCs/>
      <w:kern w:val="28"/>
      <w:sz w:val="32"/>
      <w:szCs w:val="32"/>
    </w:rPr>
  </w:style>
  <w:style w:type="paragraph" w:customStyle="1" w:styleId="22">
    <w:name w:val="标题 Char Char"/>
    <w:basedOn w:val="1"/>
    <w:next w:val="8"/>
    <w:autoRedefine/>
    <w:qFormat/>
    <w:uiPriority w:val="0"/>
    <w:pPr>
      <w:jc w:val="center"/>
      <w:outlineLvl w:val="0"/>
    </w:pPr>
    <w:rPr>
      <w:rFonts w:ascii="Arial" w:hAnsi="Arial"/>
      <w:b/>
      <w:szCs w:val="24"/>
    </w:rPr>
  </w:style>
  <w:style w:type="character" w:customStyle="1" w:styleId="23">
    <w:name w:val="正文首行缩进 2 Char"/>
    <w:basedOn w:val="19"/>
    <w:link w:val="11"/>
    <w:qFormat/>
    <w:uiPriority w:val="99"/>
    <w:rPr>
      <w:rFonts w:ascii="Calibri" w:hAnsi="Calibri" w:eastAsia="宋体" w:cs="Times New Roman"/>
      <w:kern w:val="2"/>
      <w:sz w:val="21"/>
      <w:szCs w:val="24"/>
      <w:lang w:bidi="ar-SA"/>
    </w:rPr>
  </w:style>
  <w:style w:type="character" w:customStyle="1" w:styleId="24">
    <w:name w:val="标题 Char"/>
    <w:basedOn w:val="13"/>
    <w:link w:val="10"/>
    <w:qFormat/>
    <w:uiPriority w:val="10"/>
    <w:rPr>
      <w:rFonts w:ascii="Cambria" w:hAnsi="Cambria"/>
      <w:b/>
      <w:bCs/>
      <w:kern w:val="2"/>
      <w:sz w:val="32"/>
      <w:szCs w:val="32"/>
      <w:lang w:bidi="ar-SA"/>
    </w:rPr>
  </w:style>
  <w:style w:type="paragraph" w:customStyle="1" w:styleId="25">
    <w:name w:val="00"/>
    <w:basedOn w:val="1"/>
    <w:qFormat/>
    <w:uiPriority w:val="0"/>
    <w:pPr>
      <w:jc w:val="center"/>
    </w:pPr>
    <w:rPr>
      <w:rFonts w:ascii="仿宋_GB2312" w:hAnsi="仿宋_GB2312" w:eastAsia="仿宋_GB2312"/>
      <w:color w:val="000000"/>
      <w:kern w:val="0"/>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138</Pages>
  <Words>4797</Words>
  <Characters>4909</Characters>
  <Lines>604</Lines>
  <Paragraphs>170</Paragraphs>
  <TotalTime>97</TotalTime>
  <ScaleCrop>false</ScaleCrop>
  <LinksUpToDate>false</LinksUpToDate>
  <CharactersWithSpaces>4930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2026-09-30T08:29:00Z</dcterms:created>
  <dc:creator>MZT</dc:creator>
  <cp:lastModifiedBy>user</cp:lastModifiedBy>
  <dcterms:modified xsi:type="dcterms:W3CDTF">2026-09-30T16:50:19Z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ECBFD5E045B544D58390738319FB5065_13</vt:lpwstr>
  </property>
  <property fmtid="{D5CDD505-2E9C-101B-9397-08002B2CF9AE}" pid="4" name="KSOTemplateDocerSaveRecord">
    <vt:lpwstr>eyJoZGlkIjoiM2E2NDNhNTMyZDFjZTQzNWZlMGYyNTAyMzUzNDI5MDAiLCJ1c2VySWQiOiIxNjM3NzY3MzMzIn0=</vt:lpwstr>
  </property>
</Properties>
</file>