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0FE82">
      <w:pPr>
        <w:widowControl/>
        <w:spacing w:line="620" w:lineRule="exact"/>
        <w:jc w:val="center"/>
        <w:rPr>
          <w:rFonts w:hint="eastAsia" w:ascii="宋体" w:hAnsi="宋体" w:cs="宋体"/>
          <w:b/>
          <w:bCs/>
          <w:color w:val="000000"/>
          <w:kern w:val="0"/>
          <w:sz w:val="28"/>
          <w:szCs w:val="28"/>
        </w:rPr>
      </w:pPr>
    </w:p>
    <w:p w14:paraId="0D9EB642">
      <w:pPr>
        <w:widowControl/>
        <w:spacing w:line="620" w:lineRule="exact"/>
        <w:jc w:val="center"/>
        <w:rPr>
          <w:rFonts w:hint="eastAsia" w:ascii="宋体" w:hAnsi="宋体" w:cs="宋体"/>
          <w:b/>
          <w:bCs/>
          <w:color w:val="000000"/>
          <w:kern w:val="0"/>
          <w:sz w:val="28"/>
          <w:szCs w:val="28"/>
        </w:rPr>
      </w:pPr>
    </w:p>
    <w:p w14:paraId="14CB8149">
      <w:pPr>
        <w:spacing w:line="620" w:lineRule="exact"/>
        <w:jc w:val="center"/>
        <w:rPr>
          <w:rFonts w:ascii="方正小标宋简体" w:hAnsi="方正小标宋简体" w:eastAsia="方正小标宋简体" w:cs="方正小标宋简体"/>
          <w:sz w:val="44"/>
          <w:szCs w:val="44"/>
        </w:rPr>
      </w:pPr>
      <w:bookmarkStart w:id="0" w:name="_Hlk134719364"/>
      <w:bookmarkStart w:id="1" w:name="_Toc134792633"/>
      <w:bookmarkStart w:id="2" w:name="_Toc134793778"/>
      <w:bookmarkStart w:id="3" w:name="_Toc134793455"/>
      <w:r>
        <w:rPr>
          <w:rFonts w:hint="eastAsia" w:ascii="方正小标宋简体" w:hAnsi="方正小标宋简体" w:eastAsia="方正小标宋简体" w:cs="方正小标宋简体"/>
          <w:sz w:val="44"/>
          <w:szCs w:val="44"/>
        </w:rPr>
        <w:t>省级社会组织发展资金</w:t>
      </w:r>
      <w:bookmarkEnd w:id="0"/>
      <w:bookmarkEnd w:id="1"/>
      <w:bookmarkStart w:id="4" w:name="_Toc134792634"/>
      <w:r>
        <w:rPr>
          <w:rFonts w:hint="eastAsia" w:ascii="方正小标宋简体" w:hAnsi="方正小标宋简体" w:eastAsia="方正小标宋简体" w:cs="方正小标宋简体"/>
          <w:sz w:val="44"/>
          <w:szCs w:val="44"/>
        </w:rPr>
        <w:t>（项目）</w:t>
      </w:r>
    </w:p>
    <w:p w14:paraId="7EC20A17">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使用管理工作指引</w:t>
      </w:r>
      <w:bookmarkEnd w:id="2"/>
      <w:bookmarkEnd w:id="3"/>
      <w:bookmarkEnd w:id="4"/>
    </w:p>
    <w:p w14:paraId="395C63E4">
      <w:pPr>
        <w:pStyle w:val="5"/>
        <w:spacing w:after="0" w:line="620" w:lineRule="exact"/>
        <w:jc w:val="center"/>
        <w:rPr>
          <w:rFonts w:ascii="黑体" w:hAnsi="黑体" w:eastAsia="黑体"/>
          <w:sz w:val="32"/>
          <w:szCs w:val="32"/>
        </w:rPr>
      </w:pPr>
    </w:p>
    <w:p w14:paraId="2352C78A">
      <w:pPr>
        <w:widowControl/>
        <w:spacing w:line="620"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为规范省级社会组织发展资金（项目资金）管理，确保资金规范、安全和高效使用，依据</w:t>
      </w:r>
      <w:r>
        <w:rPr>
          <w:rFonts w:hint="eastAsia" w:ascii="仿宋_GB2312" w:eastAsia="仿宋_GB2312"/>
          <w:sz w:val="32"/>
          <w:szCs w:val="32"/>
        </w:rPr>
        <w:t>《山东省省级社会组织发展资金管理办法》（鲁民〔2025〕43号）及省级财政资金管理的有关政策规定，制定本工作指引。</w:t>
      </w:r>
    </w:p>
    <w:p w14:paraId="50957C6C">
      <w:pPr>
        <w:spacing w:before="156" w:beforeLines="50" w:after="156" w:afterLines="50" w:line="620" w:lineRule="exact"/>
        <w:jc w:val="center"/>
        <w:outlineLvl w:val="0"/>
        <w:rPr>
          <w:rFonts w:hint="eastAsia" w:ascii="黑体" w:hAnsi="黑体" w:eastAsia="黑体"/>
          <w:sz w:val="32"/>
          <w:szCs w:val="32"/>
        </w:rPr>
      </w:pPr>
      <w:bookmarkStart w:id="5" w:name="_Toc134793779"/>
      <w:bookmarkStart w:id="6" w:name="_Toc134793456"/>
      <w:bookmarkStart w:id="7" w:name="_Toc203747165"/>
      <w:bookmarkStart w:id="8" w:name="_Toc203747147"/>
      <w:bookmarkStart w:id="9" w:name="_Toc134792635"/>
      <w:r>
        <w:rPr>
          <w:rFonts w:hint="eastAsia" w:ascii="黑体" w:hAnsi="黑体" w:eastAsia="黑体"/>
          <w:sz w:val="32"/>
          <w:szCs w:val="32"/>
        </w:rPr>
        <w:t>一、项目资金管理原则</w:t>
      </w:r>
      <w:bookmarkEnd w:id="5"/>
      <w:bookmarkEnd w:id="6"/>
      <w:bookmarkEnd w:id="7"/>
      <w:bookmarkEnd w:id="8"/>
      <w:bookmarkEnd w:id="9"/>
    </w:p>
    <w:p w14:paraId="6DEC32ED">
      <w:pPr>
        <w:widowControl/>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省级社会组织发展资金，是指由省级财政预算安排，专项用于支持省管社会</w:t>
      </w:r>
      <w:r>
        <w:rPr>
          <w:rFonts w:hint="eastAsia" w:ascii="仿宋_GB2312" w:eastAsia="仿宋_GB2312"/>
          <w:color w:val="000000"/>
          <w:sz w:val="32"/>
          <w:szCs w:val="32"/>
        </w:rPr>
        <w:t>组织发展的资金。</w:t>
      </w:r>
      <w:r>
        <w:rPr>
          <w:rFonts w:hint="eastAsia" w:ascii="仿宋_GB2312" w:eastAsia="仿宋_GB2312"/>
          <w:sz w:val="32"/>
          <w:szCs w:val="32"/>
        </w:rPr>
        <w:t>本指引所称“项目资金”，是指用于“支持社会组织服务全省工作大局、支持社会组织参与保障和改善民生”的项目资金及项目承接单位列支的项目配套资金。应遵循以下原则：</w:t>
      </w:r>
    </w:p>
    <w:p w14:paraId="7903D05D">
      <w:pPr>
        <w:spacing w:line="620" w:lineRule="exact"/>
        <w:ind w:firstLine="640" w:firstLineChars="200"/>
        <w:contextualSpacing/>
        <w:rPr>
          <w:rFonts w:ascii="仿宋_GB2312" w:eastAsia="仿宋_GB2312"/>
          <w:color w:val="000000"/>
          <w:sz w:val="32"/>
          <w:szCs w:val="32"/>
        </w:rPr>
      </w:pPr>
      <w:bookmarkStart w:id="10" w:name="_Toc203747166"/>
      <w:r>
        <w:rPr>
          <w:rFonts w:hint="eastAsia" w:ascii="楷体_GB2312" w:eastAsia="楷体_GB2312"/>
          <w:color w:val="000000"/>
          <w:sz w:val="32"/>
          <w:szCs w:val="32"/>
        </w:rPr>
        <w:t>合法合规：</w:t>
      </w:r>
      <w:r>
        <w:rPr>
          <w:rFonts w:hint="eastAsia" w:ascii="仿宋_GB2312" w:eastAsia="仿宋_GB2312"/>
          <w:color w:val="000000"/>
          <w:sz w:val="32"/>
          <w:szCs w:val="32"/>
        </w:rPr>
        <w:t>项目资金的使用应遵守国家法律、法规的规定，符合项目资金使用管理办法的要求。</w:t>
      </w:r>
      <w:bookmarkEnd w:id="10"/>
      <w:bookmarkStart w:id="11" w:name="_Toc203747167"/>
    </w:p>
    <w:p w14:paraId="67D2597D">
      <w:pPr>
        <w:spacing w:line="620" w:lineRule="exact"/>
        <w:ind w:firstLine="640" w:firstLineChars="200"/>
        <w:contextualSpacing/>
        <w:rPr>
          <w:rFonts w:hint="eastAsia" w:ascii="仿宋_GB2312" w:eastAsia="仿宋_GB2312"/>
          <w:color w:val="000000"/>
          <w:sz w:val="32"/>
          <w:szCs w:val="32"/>
        </w:rPr>
      </w:pPr>
      <w:r>
        <w:rPr>
          <w:rFonts w:hint="eastAsia" w:ascii="楷体_GB2312" w:eastAsia="楷体_GB2312"/>
          <w:color w:val="000000"/>
          <w:sz w:val="32"/>
          <w:szCs w:val="32"/>
        </w:rPr>
        <w:t>专款专用：</w:t>
      </w:r>
      <w:r>
        <w:rPr>
          <w:rFonts w:hint="eastAsia" w:ascii="仿宋_GB2312" w:eastAsia="仿宋_GB2312"/>
          <w:color w:val="000000"/>
          <w:sz w:val="32"/>
          <w:szCs w:val="32"/>
        </w:rPr>
        <w:t>项目资金使用应以项目申报书确定的绩效目标和承诺为依据，全部用于项目申报书所规定的受益对象和服务活动，不得挪作他用或挪用其他项目资金。</w:t>
      </w:r>
      <w:bookmarkEnd w:id="11"/>
    </w:p>
    <w:p w14:paraId="402A7B80">
      <w:pPr>
        <w:widowControl/>
        <w:spacing w:line="620" w:lineRule="exact"/>
        <w:ind w:firstLine="640" w:firstLineChars="200"/>
        <w:outlineLvl w:val="2"/>
        <w:rPr>
          <w:rFonts w:hint="eastAsia" w:ascii="仿宋_GB2312" w:eastAsia="仿宋_GB2312"/>
          <w:color w:val="000000"/>
          <w:sz w:val="32"/>
          <w:szCs w:val="32"/>
        </w:rPr>
      </w:pPr>
      <w:bookmarkStart w:id="12" w:name="_Toc203747168"/>
      <w:r>
        <w:rPr>
          <w:rFonts w:hint="eastAsia" w:ascii="楷体_GB2312" w:eastAsia="楷体_GB2312"/>
          <w:color w:val="000000"/>
          <w:sz w:val="32"/>
          <w:szCs w:val="32"/>
        </w:rPr>
        <w:t>节俭使用</w:t>
      </w:r>
      <w:r>
        <w:rPr>
          <w:rFonts w:hint="eastAsia" w:ascii="仿宋_GB2312" w:eastAsia="仿宋_GB2312"/>
          <w:color w:val="000000"/>
          <w:sz w:val="32"/>
          <w:szCs w:val="32"/>
        </w:rPr>
        <w:t>：项目资金使用和支出要厉行节约，应严格按照规定的支出范围和开支标准执行。</w:t>
      </w:r>
      <w:bookmarkEnd w:id="12"/>
    </w:p>
    <w:p w14:paraId="752AB055">
      <w:pPr>
        <w:widowControl/>
        <w:spacing w:line="620" w:lineRule="exact"/>
        <w:ind w:firstLine="640" w:firstLineChars="200"/>
        <w:outlineLvl w:val="2"/>
        <w:rPr>
          <w:rFonts w:hint="eastAsia" w:ascii="仿宋_GB2312" w:eastAsia="仿宋_GB2312"/>
          <w:color w:val="000000"/>
          <w:sz w:val="32"/>
          <w:szCs w:val="32"/>
        </w:rPr>
      </w:pPr>
      <w:bookmarkStart w:id="13" w:name="_Toc203747169"/>
      <w:r>
        <w:rPr>
          <w:rFonts w:hint="eastAsia" w:ascii="楷体_GB2312" w:eastAsia="楷体_GB2312"/>
          <w:color w:val="000000"/>
          <w:sz w:val="32"/>
          <w:szCs w:val="32"/>
        </w:rPr>
        <w:t>突出绩效：</w:t>
      </w:r>
      <w:r>
        <w:rPr>
          <w:rFonts w:hint="eastAsia" w:ascii="仿宋_GB2312" w:eastAsia="仿宋_GB2312"/>
          <w:color w:val="000000"/>
          <w:sz w:val="32"/>
          <w:szCs w:val="32"/>
        </w:rPr>
        <w:t>资金使用需与项目绩效目标挂钩，注重成本效益，确保实现预期公益和绩效目标。</w:t>
      </w:r>
      <w:bookmarkEnd w:id="13"/>
    </w:p>
    <w:p w14:paraId="6E81E33D">
      <w:pPr>
        <w:spacing w:before="156" w:beforeLines="50" w:after="156" w:afterLines="50" w:line="620" w:lineRule="exact"/>
        <w:jc w:val="center"/>
        <w:outlineLvl w:val="0"/>
        <w:rPr>
          <w:rFonts w:hint="eastAsia" w:ascii="黑体" w:hAnsi="黑体" w:eastAsia="黑体"/>
          <w:sz w:val="32"/>
          <w:szCs w:val="32"/>
        </w:rPr>
      </w:pPr>
      <w:bookmarkStart w:id="14" w:name="_Toc134793780"/>
      <w:bookmarkStart w:id="15" w:name="_Toc134792636"/>
      <w:bookmarkStart w:id="16" w:name="_Toc203747170"/>
      <w:bookmarkStart w:id="17" w:name="_Toc203747148"/>
      <w:bookmarkStart w:id="18" w:name="_Toc134793457"/>
      <w:r>
        <w:rPr>
          <w:rFonts w:hint="eastAsia" w:ascii="黑体" w:hAnsi="黑体" w:eastAsia="黑体"/>
          <w:sz w:val="32"/>
          <w:szCs w:val="32"/>
        </w:rPr>
        <w:t>二、项目资金预算</w:t>
      </w:r>
      <w:bookmarkEnd w:id="14"/>
      <w:bookmarkEnd w:id="15"/>
      <w:bookmarkEnd w:id="16"/>
      <w:bookmarkEnd w:id="17"/>
      <w:bookmarkEnd w:id="18"/>
      <w:r>
        <w:rPr>
          <w:rFonts w:hint="eastAsia" w:ascii="黑体" w:hAnsi="黑体" w:eastAsia="黑体"/>
          <w:sz w:val="32"/>
          <w:szCs w:val="32"/>
        </w:rPr>
        <w:t>编制</w:t>
      </w:r>
    </w:p>
    <w:p w14:paraId="4ED07B2C">
      <w:pPr>
        <w:widowControl/>
        <w:spacing w:line="6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项目申报单位应在深入调查研究基础上，科学编制项目资金支出预算，量力而行确定配套资金。</w:t>
      </w:r>
    </w:p>
    <w:p w14:paraId="11F9DE14">
      <w:pPr>
        <w:widowControl/>
        <w:spacing w:line="620"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编制预算时，申报单位应在“项目简介”和“项目预算”中列明项目主要内容、实施区域、服务类型、受益群体、受益人数和次数、费用种类和</w:t>
      </w:r>
      <w:r>
        <w:rPr>
          <w:rFonts w:hint="eastAsia" w:ascii="仿宋_GB2312" w:eastAsia="仿宋_GB2312"/>
          <w:sz w:val="32"/>
          <w:szCs w:val="32"/>
        </w:rPr>
        <w:t>标准，据实编制项目资金使用预算和绩效目标。具体编制要求如下：</w:t>
      </w:r>
    </w:p>
    <w:p w14:paraId="38439CF5">
      <w:pPr>
        <w:widowControl/>
        <w:spacing w:line="620" w:lineRule="exact"/>
        <w:ind w:firstLine="640" w:firstLineChars="200"/>
        <w:rPr>
          <w:rFonts w:hint="eastAsia" w:ascii="仿宋_GB2312" w:eastAsia="仿宋_GB2312"/>
          <w:color w:val="000000"/>
          <w:sz w:val="32"/>
          <w:szCs w:val="32"/>
        </w:rPr>
      </w:pPr>
      <w:bookmarkStart w:id="19" w:name="_Toc134793459"/>
      <w:bookmarkStart w:id="20" w:name="_Toc203747172"/>
      <w:bookmarkStart w:id="21" w:name="_Toc134793782"/>
      <w:r>
        <w:rPr>
          <w:rFonts w:hint="eastAsia" w:ascii="仿宋_GB2312" w:eastAsia="仿宋_GB2312"/>
          <w:color w:val="000000"/>
          <w:sz w:val="32"/>
          <w:szCs w:val="32"/>
        </w:rPr>
        <w:t>项目申报单位应减少开展服务活动的项数或种类，将资金集中用于项目实施，避免资金过于分散。</w:t>
      </w:r>
      <w:bookmarkEnd w:id="19"/>
      <w:bookmarkEnd w:id="20"/>
      <w:bookmarkEnd w:id="21"/>
      <w:r>
        <w:rPr>
          <w:rFonts w:hint="eastAsia" w:ascii="仿宋_GB2312" w:eastAsia="仿宋_GB2312"/>
          <w:color w:val="000000"/>
          <w:sz w:val="32"/>
          <w:szCs w:val="32"/>
        </w:rPr>
        <w:t>开展服务支出应按提供服务种类、受益对象种类或预计发生的费用类型填列。项目资金不得用于受益对象发放救助款、奖学金和补贴、设备购置和服务设施、图书赠送、投资、高风险户外活动、考察旅游、软件系统开发维护等，不得用于国家规定的地方性社会组织相应示范项目禁止支出范围。</w:t>
      </w:r>
    </w:p>
    <w:p w14:paraId="375A2EBB">
      <w:pPr>
        <w:spacing w:line="6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编制预算时，国家有规定标准的按相关规定执行；国家无相关规定的，费用标准应符合项目实际，并遵循经济节约的原则。编制预算时应遵循以下要求和标准：</w:t>
      </w:r>
    </w:p>
    <w:p w14:paraId="714A78A7">
      <w:pPr>
        <w:spacing w:line="620" w:lineRule="exact"/>
        <w:ind w:firstLine="640" w:firstLineChars="200"/>
        <w:outlineLvl w:val="3"/>
        <w:rPr>
          <w:rFonts w:ascii="仿宋_GB2312" w:eastAsia="仿宋_GB2312"/>
          <w:color w:val="000000"/>
          <w:sz w:val="32"/>
          <w:szCs w:val="32"/>
        </w:rPr>
      </w:pPr>
      <w:bookmarkStart w:id="22" w:name="_Toc134793783"/>
      <w:bookmarkStart w:id="23" w:name="_Toc134793460"/>
      <w:r>
        <w:rPr>
          <w:rStyle w:val="9"/>
          <w:rFonts w:hint="eastAsia" w:ascii="仿宋_GB2312" w:hAnsi="微软雅黑" w:eastAsia="仿宋_GB2312"/>
          <w:b w:val="0"/>
          <w:bCs w:val="0"/>
          <w:sz w:val="32"/>
          <w:szCs w:val="32"/>
        </w:rPr>
        <w:t>1</w:t>
      </w:r>
      <w:r>
        <w:rPr>
          <w:rStyle w:val="9"/>
          <w:rFonts w:hint="eastAsia" w:ascii="仿宋_GB2312" w:hAnsi="微软雅黑" w:eastAsia="仿宋_GB2312"/>
          <w:b w:val="0"/>
          <w:sz w:val="32"/>
          <w:szCs w:val="32"/>
        </w:rPr>
        <w:t>.</w:t>
      </w:r>
      <w:r>
        <w:rPr>
          <w:rStyle w:val="9"/>
          <w:rFonts w:hint="eastAsia" w:ascii="仿宋_GB2312" w:hAnsi="微软雅黑" w:eastAsia="仿宋_GB2312"/>
          <w:b w:val="0"/>
          <w:bCs w:val="0"/>
          <w:sz w:val="32"/>
          <w:szCs w:val="32"/>
        </w:rPr>
        <w:t>培训费</w:t>
      </w:r>
      <w:bookmarkEnd w:id="22"/>
      <w:bookmarkEnd w:id="23"/>
      <w:r>
        <w:rPr>
          <w:rStyle w:val="9"/>
          <w:rFonts w:hint="eastAsia" w:ascii="仿宋_GB2312" w:hAnsi="微软雅黑" w:eastAsia="仿宋_GB2312"/>
          <w:b w:val="0"/>
          <w:bCs w:val="0"/>
          <w:sz w:val="32"/>
          <w:szCs w:val="32"/>
        </w:rPr>
        <w:t>。</w:t>
      </w:r>
      <w:r>
        <w:rPr>
          <w:rFonts w:hint="eastAsia" w:ascii="仿宋_GB2312" w:eastAsia="仿宋_GB2312"/>
          <w:color w:val="000000"/>
          <w:sz w:val="32"/>
          <w:szCs w:val="32"/>
        </w:rPr>
        <w:t>培训费是项目执行中对受助对象开展培训所必须发生的各项费用，包括住宿费、伙食费、培训场地费、师资费、培训资料费、交通费、其他费用。实施方案明细列示开展培训活动的项目外，其他项目不得列支培训费。编制培训费预算时，应列明培训对象种类或培训名称、次（期）数、每次（期）天数和人数，并按次（期）列明培训所需费用。培训费执行</w:t>
      </w:r>
      <w:r>
        <w:rPr>
          <w:rFonts w:hint="eastAsia" w:ascii="仿宋_GB2312" w:eastAsia="仿宋_GB2312"/>
          <w:sz w:val="32"/>
          <w:szCs w:val="32"/>
        </w:rPr>
        <w:t>《山东省省直机关培训费管理办法》（鲁财行〔201</w:t>
      </w:r>
      <w:r>
        <w:rPr>
          <w:rFonts w:ascii="仿宋_GB2312" w:eastAsia="仿宋_GB2312"/>
          <w:sz w:val="32"/>
          <w:szCs w:val="32"/>
        </w:rPr>
        <w:t>9</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7号）</w:t>
      </w:r>
      <w:r>
        <w:rPr>
          <w:rFonts w:hint="eastAsia" w:ascii="仿宋_GB2312" w:eastAsia="仿宋_GB2312"/>
          <w:color w:val="000000"/>
          <w:sz w:val="32"/>
          <w:szCs w:val="32"/>
        </w:rPr>
        <w:t>规定标准。具体如下：</w:t>
      </w:r>
    </w:p>
    <w:p w14:paraId="47E3D39C">
      <w:pPr>
        <w:spacing w:line="620" w:lineRule="exact"/>
        <w:ind w:firstLine="640" w:firstLineChars="200"/>
        <w:contextualSpacing/>
        <w:rPr>
          <w:rFonts w:hint="eastAsia" w:ascii="仿宋_GB2312" w:eastAsia="仿宋_GB2312"/>
          <w:color w:val="000000"/>
          <w:sz w:val="32"/>
          <w:szCs w:val="32"/>
        </w:rPr>
      </w:pPr>
      <w:r>
        <w:rPr>
          <w:rFonts w:hint="eastAsia" w:ascii="仿宋_GB2312" w:eastAsia="仿宋_GB2312"/>
          <w:color w:val="000000"/>
          <w:sz w:val="32"/>
          <w:szCs w:val="32"/>
        </w:rPr>
        <w:t>开展培训的费用总额，包括师资费、住宿费、伙食费、培训场地费、培训资料费、交通费、其他费用。对于不安排住宿的培训，应相应扣减住宿费用。</w:t>
      </w:r>
    </w:p>
    <w:p w14:paraId="4596B9AB">
      <w:pPr>
        <w:spacing w:line="6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师资费是指聘请师资授课发生的费用，包括授课老师讲课费、住宿费、伙食费、城市间交通费等。讲课费支付不得超过《山东省省直机关培训费管理办法》规定标准。不得向本组织工作人员及民政部门工作人员支付师资费。</w:t>
      </w:r>
    </w:p>
    <w:p w14:paraId="7EB95CE9">
      <w:pPr>
        <w:widowControl/>
        <w:spacing w:line="6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住宿费是指参训人员及工作人员培训期间发生的租住房间的费用；伙食费是指参训人员及工作人员培训期间发生的用餐费用；培训场地费是指用于培训的会议室等租金；培训资料费是指培训期间必要的资料及办公用品费；交通费是指用于与培训有关的考察、调研等发生的交通支出；其他费用是指设备租赁费等与培训有关的其他支出。</w:t>
      </w:r>
    </w:p>
    <w:p w14:paraId="74652CC7">
      <w:pPr>
        <w:widowControl/>
        <w:spacing w:line="6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交通费不包括项目承接单位人员及培训对象的城际间交通费，上述人员参加培训往返及异地教学发生的城市间交通费，按照有关规定回单位报销。</w:t>
      </w:r>
    </w:p>
    <w:p w14:paraId="38745255">
      <w:pPr>
        <w:spacing w:line="620" w:lineRule="exact"/>
        <w:ind w:firstLine="640" w:firstLineChars="200"/>
        <w:outlineLvl w:val="3"/>
        <w:rPr>
          <w:rFonts w:hint="eastAsia" w:ascii="仿宋_GB2312" w:eastAsia="仿宋_GB2312"/>
          <w:color w:val="000000"/>
          <w:sz w:val="32"/>
          <w:szCs w:val="32"/>
        </w:rPr>
      </w:pPr>
      <w:bookmarkStart w:id="24" w:name="_Toc134793461"/>
      <w:bookmarkStart w:id="25" w:name="_Toc134793784"/>
      <w:r>
        <w:rPr>
          <w:rFonts w:hint="eastAsia" w:ascii="仿宋_GB2312" w:hAnsi="微软雅黑" w:eastAsia="仿宋_GB2312"/>
          <w:sz w:val="32"/>
          <w:szCs w:val="32"/>
        </w:rPr>
        <w:t>2.劳务费</w:t>
      </w:r>
      <w:bookmarkEnd w:id="24"/>
      <w:bookmarkEnd w:id="25"/>
      <w:r>
        <w:rPr>
          <w:rFonts w:hint="eastAsia" w:ascii="仿宋_GB2312" w:hAnsi="微软雅黑" w:eastAsia="仿宋_GB2312"/>
          <w:sz w:val="32"/>
          <w:szCs w:val="32"/>
        </w:rPr>
        <w:t>。</w:t>
      </w:r>
      <w:r>
        <w:rPr>
          <w:rFonts w:hint="eastAsia" w:ascii="仿宋_GB2312" w:eastAsia="仿宋_GB2312"/>
          <w:color w:val="000000"/>
          <w:sz w:val="32"/>
          <w:szCs w:val="32"/>
        </w:rPr>
        <w:t>劳务费</w:t>
      </w:r>
      <w:r>
        <w:rPr>
          <w:rFonts w:hint="eastAsia" w:ascii="仿宋_GB2312" w:eastAsia="仿宋_GB2312"/>
          <w:sz w:val="32"/>
          <w:szCs w:val="32"/>
        </w:rPr>
        <w:t>包括专家咨询费、</w:t>
      </w:r>
      <w:r>
        <w:rPr>
          <w:rFonts w:hint="eastAsia" w:ascii="仿宋_GB2312" w:eastAsia="仿宋_GB2312"/>
          <w:color w:val="000000"/>
          <w:sz w:val="32"/>
          <w:szCs w:val="32"/>
        </w:rPr>
        <w:t>志愿者补贴等，不得向本组织工作人员及民政部门工作人员支付劳务费。受益对象不得领取劳务费。编制预算时，专家咨询费和志愿者补贴应在开展服务支出中单独申报，并列明劳务的种类、服务内容、工作次数及时间、标准等，并要严格控制在省级财政资金中列支的金额和比例。具体标准如下：</w:t>
      </w:r>
    </w:p>
    <w:p w14:paraId="41435956">
      <w:pPr>
        <w:widowControl/>
        <w:spacing w:line="62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①专家咨询费的标准：高级专业技术职称人员500元/人/天（税后）、其他专业技术一般人员300元/人/天（税后）；每个专家在项目中累计工作时间超过两天的，第三天及以后的费用标准，按高级专业技术职称人员300元/人/天（税后）、其他专业技术一般人员200元/人/天（税后）的标准执行。</w:t>
      </w:r>
    </w:p>
    <w:p w14:paraId="035BFF2E">
      <w:pPr>
        <w:widowControl/>
        <w:spacing w:line="6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②志愿者补贴：包括餐费、市内交通费等补贴，每人每天不超过100元（税后），发放志愿者补贴的不得再以报销形式列支餐费和交通费等支出。</w:t>
      </w:r>
    </w:p>
    <w:p w14:paraId="33860EE9">
      <w:pPr>
        <w:spacing w:line="620" w:lineRule="exact"/>
        <w:ind w:firstLine="640" w:firstLineChars="200"/>
        <w:outlineLvl w:val="3"/>
        <w:rPr>
          <w:rFonts w:hint="eastAsia" w:ascii="仿宋_GB2312" w:eastAsia="仿宋_GB2312"/>
          <w:color w:val="000000"/>
          <w:sz w:val="32"/>
          <w:szCs w:val="32"/>
        </w:rPr>
      </w:pPr>
      <w:bookmarkStart w:id="26" w:name="_Toc134793786"/>
      <w:bookmarkStart w:id="27" w:name="_Toc134793463"/>
      <w:r>
        <w:rPr>
          <w:rFonts w:hint="eastAsia" w:ascii="仿宋_GB2312" w:hAnsi="微软雅黑" w:eastAsia="仿宋_GB2312"/>
          <w:sz w:val="32"/>
          <w:szCs w:val="32"/>
        </w:rPr>
        <w:t>3.</w:t>
      </w:r>
      <w:bookmarkEnd w:id="26"/>
      <w:bookmarkEnd w:id="27"/>
      <w:r>
        <w:rPr>
          <w:rFonts w:hint="eastAsia" w:ascii="仿宋_GB2312" w:hAnsi="微软雅黑" w:eastAsia="仿宋_GB2312"/>
          <w:sz w:val="32"/>
          <w:szCs w:val="32"/>
        </w:rPr>
        <w:t>差旅费。</w:t>
      </w:r>
      <w:r>
        <w:rPr>
          <w:rFonts w:hint="eastAsia" w:ascii="仿宋_GB2312" w:eastAsia="仿宋_GB2312"/>
          <w:color w:val="000000"/>
          <w:sz w:val="32"/>
          <w:szCs w:val="32"/>
        </w:rPr>
        <w:t>差旅费是指省社会组织发展资金支持项目执行过程中必须发生的专家、志愿者和工作人员的城市间交通费、住宿费、伙食补助费和市内交通费，列支的差旅费应与开展项目直接相关，并符合经济节约原则。如果已经支付志愿者补贴的，则不得再为志愿者报销市内交通费。差旅费应参照《山东省省直机关差旅费管理办法》（鲁财行〔2014〕4号）、《关于规范差旅伙食费和市内交通费收交管理有关事项的通知》（鲁财行〔2019〕27号）执行。</w:t>
      </w:r>
    </w:p>
    <w:p w14:paraId="18C2915E">
      <w:pPr>
        <w:spacing w:line="620" w:lineRule="exact"/>
        <w:ind w:firstLine="640" w:firstLineChars="200"/>
        <w:outlineLvl w:val="3"/>
        <w:rPr>
          <w:rFonts w:hint="eastAsia" w:ascii="仿宋_GB2312" w:eastAsia="仿宋_GB2312"/>
          <w:color w:val="000000"/>
          <w:sz w:val="32"/>
          <w:szCs w:val="32"/>
        </w:rPr>
      </w:pPr>
      <w:bookmarkStart w:id="28" w:name="_Toc134793468"/>
      <w:bookmarkStart w:id="29" w:name="_Toc134793791"/>
      <w:r>
        <w:rPr>
          <w:rFonts w:hint="eastAsia" w:ascii="仿宋_GB2312" w:hAnsi="微软雅黑" w:eastAsia="仿宋_GB2312"/>
          <w:sz w:val="32"/>
          <w:szCs w:val="32"/>
        </w:rPr>
        <w:t>4.会议费</w:t>
      </w:r>
      <w:bookmarkEnd w:id="28"/>
      <w:bookmarkEnd w:id="29"/>
      <w:r>
        <w:rPr>
          <w:rFonts w:hint="eastAsia" w:ascii="仿宋_GB2312" w:hAnsi="微软雅黑" w:eastAsia="仿宋_GB2312"/>
          <w:sz w:val="32"/>
          <w:szCs w:val="32"/>
        </w:rPr>
        <w:t>。</w:t>
      </w:r>
      <w:r>
        <w:rPr>
          <w:rFonts w:hint="eastAsia" w:ascii="仿宋_GB2312" w:eastAsia="仿宋_GB2312"/>
          <w:color w:val="000000"/>
          <w:sz w:val="32"/>
          <w:szCs w:val="32"/>
        </w:rPr>
        <w:t>会议费是执行项目必须发生的会议费用，线下会议费开支范围包括：住宿费、伙食费、会议室租金、交通费、文件印刷费、医药费等。交通费是指用于会议代表接送站，以及会议统一组织的代表考察、调研等发生的交通支出。会议代表参加会议发生的城市间交通费，按照差旅费管理规定回单位报销。</w:t>
      </w:r>
      <w:r>
        <w:rPr>
          <w:rFonts w:ascii="仿宋_GB2312" w:hAnsi="宋体" w:eastAsia="仿宋_GB2312" w:cs="仿宋_GB2312"/>
          <w:color w:val="333333"/>
          <w:sz w:val="31"/>
          <w:szCs w:val="31"/>
          <w:shd w:val="clear" w:color="auto" w:fill="FFFFFF"/>
        </w:rPr>
        <w:t>线上会议费开支范围包括：能够明确对应具体会议的线路费、电视电话会议通话费、技术服务费、软件应用费，以及与线上形式直接相关的设备租赁费、音视频制作费等。</w:t>
      </w:r>
      <w:r>
        <w:rPr>
          <w:rFonts w:hint="eastAsia" w:ascii="仿宋_GB2312" w:hAnsi="宋体" w:eastAsia="仿宋_GB2312" w:cs="仿宋_GB2312"/>
          <w:color w:val="333333"/>
          <w:sz w:val="31"/>
          <w:szCs w:val="31"/>
          <w:shd w:val="clear" w:color="auto" w:fill="FFFFFF"/>
        </w:rPr>
        <w:t>可线上召开的会议，应通过线上召开。</w:t>
      </w:r>
    </w:p>
    <w:p w14:paraId="77F61A64">
      <w:pPr>
        <w:widowControl/>
        <w:spacing w:line="6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项目承接单位应严格控制会议数量、规模，编制预算时应列明会议的用途、次数、规模、金额，会议费不得超过《山东省省直机关会议费管理办法》（鲁财行〔2025〕9号）规定的三类会议标准。其中，会议住宿用房应以标准间为主；会议用餐安排自助餐或工作餐，严控菜品种类和数量，不得提供高档菜肴、安排宴请、上烟酒；会场不得摆放花草、制作背景板、提供水果。严禁使用会议费购置电脑、复印机、打印机、传真机等办公设备及开支与会议无关的其他费用；严禁组织会议代表旅游和与会议无关的参观；严禁组织高消费娱乐、健身活动；严禁以任何名义发放纪念品；严禁额外配发洗漱用品；严禁借会议名义组织会餐；严禁套取会议资金；严禁在会议费中列支公务接待费等费用；</w:t>
      </w:r>
      <w:r>
        <w:rPr>
          <w:rFonts w:ascii="仿宋_GB2312" w:hAnsi="宋体" w:eastAsia="仿宋_GB2312" w:cs="仿宋_GB2312"/>
          <w:color w:val="333333"/>
          <w:sz w:val="31"/>
          <w:szCs w:val="31"/>
          <w:shd w:val="clear" w:color="auto" w:fill="FFFFFF"/>
        </w:rPr>
        <w:t>不得到党中央、国务院明令禁止的风景名胜区召开会议。</w:t>
      </w:r>
    </w:p>
    <w:p w14:paraId="63B6D586">
      <w:pPr>
        <w:spacing w:line="620" w:lineRule="exact"/>
        <w:ind w:firstLine="640" w:firstLineChars="200"/>
        <w:outlineLvl w:val="3"/>
        <w:rPr>
          <w:rFonts w:ascii="仿宋_GB2312" w:eastAsia="仿宋_GB2312"/>
          <w:color w:val="000000"/>
          <w:sz w:val="32"/>
          <w:szCs w:val="32"/>
        </w:rPr>
      </w:pPr>
      <w:bookmarkStart w:id="30" w:name="_Toc134793469"/>
      <w:bookmarkStart w:id="31" w:name="_Toc134793792"/>
      <w:r>
        <w:rPr>
          <w:rFonts w:hint="eastAsia" w:ascii="仿宋_GB2312" w:hAnsi="微软雅黑" w:eastAsia="仿宋_GB2312"/>
          <w:sz w:val="32"/>
          <w:szCs w:val="32"/>
        </w:rPr>
        <w:t>5.印刷、宣传费</w:t>
      </w:r>
      <w:bookmarkEnd w:id="30"/>
      <w:bookmarkEnd w:id="31"/>
      <w:r>
        <w:rPr>
          <w:rFonts w:hint="eastAsia" w:ascii="仿宋_GB2312" w:hAnsi="微软雅黑" w:eastAsia="仿宋_GB2312"/>
          <w:sz w:val="32"/>
          <w:szCs w:val="32"/>
        </w:rPr>
        <w:t>。</w:t>
      </w:r>
      <w:r>
        <w:rPr>
          <w:rFonts w:hint="eastAsia" w:ascii="仿宋_GB2312" w:eastAsia="仿宋_GB2312"/>
          <w:color w:val="000000"/>
          <w:sz w:val="32"/>
          <w:szCs w:val="32"/>
        </w:rPr>
        <w:t>印刷、宣传费是省级社会组织发展资金支持项目实施中必须发生的费用，编制预算应本着节约的原则，列明费用的种类、标准和金额。</w:t>
      </w:r>
      <w:bookmarkStart w:id="32" w:name="_Toc134793793"/>
      <w:bookmarkStart w:id="33" w:name="_Toc134793470"/>
    </w:p>
    <w:p w14:paraId="0866E16A">
      <w:pPr>
        <w:spacing w:line="620" w:lineRule="exact"/>
        <w:ind w:firstLine="640" w:firstLineChars="200"/>
        <w:rPr>
          <w:rFonts w:hint="eastAsia" w:ascii="仿宋_GB2312" w:eastAsia="仿宋_GB2312"/>
          <w:color w:val="000000"/>
          <w:sz w:val="32"/>
          <w:szCs w:val="32"/>
        </w:rPr>
      </w:pPr>
      <w:r>
        <w:rPr>
          <w:rFonts w:hint="eastAsia" w:ascii="仿宋_GB2312" w:hAnsi="微软雅黑" w:eastAsia="仿宋_GB2312"/>
          <w:sz w:val="32"/>
          <w:szCs w:val="32"/>
        </w:rPr>
        <w:t>6.其他费用</w:t>
      </w:r>
      <w:bookmarkEnd w:id="32"/>
      <w:bookmarkEnd w:id="33"/>
      <w:r>
        <w:rPr>
          <w:rFonts w:hint="eastAsia" w:ascii="仿宋_GB2312" w:hAnsi="微软雅黑" w:eastAsia="仿宋_GB2312"/>
          <w:sz w:val="32"/>
          <w:szCs w:val="32"/>
        </w:rPr>
        <w:t>。</w:t>
      </w:r>
      <w:r>
        <w:rPr>
          <w:rFonts w:hint="eastAsia" w:ascii="仿宋_GB2312" w:eastAsia="仿宋_GB2312"/>
          <w:color w:val="000000"/>
          <w:sz w:val="32"/>
          <w:szCs w:val="32"/>
        </w:rPr>
        <w:t>除执行项目所必需的、与开展项目直接相关的上述费用外，可少量列支项目执行和实施中必须发生的项目评估费、审计费等，但不得列支项目承接单位的房租、水电费、折旧等机构运行费用。</w:t>
      </w:r>
    </w:p>
    <w:p w14:paraId="6D2CD9CC">
      <w:pPr>
        <w:widowControl/>
        <w:spacing w:line="6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对于开展项目所必需的发放给受益对象的支出，如乡村公益课堂中必需教具（文具）、走访慰问等，其中走访慰问必需物品支出不得超出项目总支出10%。</w:t>
      </w:r>
    </w:p>
    <w:p w14:paraId="20B33EDB">
      <w:pPr>
        <w:spacing w:before="156" w:beforeLines="50" w:after="156" w:afterLines="50" w:line="620" w:lineRule="exact"/>
        <w:jc w:val="center"/>
        <w:outlineLvl w:val="0"/>
        <w:rPr>
          <w:rFonts w:hint="eastAsia" w:ascii="黑体" w:hAnsi="黑体" w:eastAsia="黑体"/>
          <w:sz w:val="32"/>
          <w:szCs w:val="32"/>
        </w:rPr>
      </w:pPr>
      <w:bookmarkStart w:id="34" w:name="_Toc134793478"/>
      <w:bookmarkStart w:id="35" w:name="_Toc134793801"/>
      <w:bookmarkStart w:id="36" w:name="_Toc203747151"/>
      <w:bookmarkStart w:id="37" w:name="_Toc134792637"/>
      <w:bookmarkStart w:id="38" w:name="_Toc203747177"/>
      <w:r>
        <w:rPr>
          <w:rFonts w:hint="eastAsia" w:ascii="黑体" w:hAnsi="黑体" w:eastAsia="黑体"/>
          <w:sz w:val="32"/>
          <w:szCs w:val="32"/>
        </w:rPr>
        <w:t>三、项目实施管理</w:t>
      </w:r>
      <w:bookmarkEnd w:id="34"/>
      <w:bookmarkEnd w:id="35"/>
      <w:bookmarkEnd w:id="36"/>
      <w:bookmarkEnd w:id="37"/>
      <w:bookmarkEnd w:id="38"/>
    </w:p>
    <w:p w14:paraId="7466FE7E">
      <w:pPr>
        <w:spacing w:line="620" w:lineRule="exact"/>
        <w:ind w:firstLine="640" w:firstLineChars="200"/>
        <w:outlineLvl w:val="1"/>
        <w:rPr>
          <w:rFonts w:hint="eastAsia" w:ascii="仿宋_GB2312" w:eastAsia="仿宋_GB2312"/>
          <w:color w:val="000000"/>
          <w:sz w:val="32"/>
          <w:szCs w:val="32"/>
        </w:rPr>
      </w:pPr>
      <w:bookmarkStart w:id="39" w:name="_Toc134793802"/>
      <w:bookmarkStart w:id="40" w:name="_Toc203747178"/>
      <w:bookmarkStart w:id="41" w:name="_Toc134793479"/>
      <w:bookmarkStart w:id="42" w:name="_Toc203747152"/>
      <w:r>
        <w:rPr>
          <w:rFonts w:hint="eastAsia" w:ascii="楷体_GB2312" w:eastAsia="楷体_GB2312"/>
          <w:sz w:val="32"/>
          <w:szCs w:val="32"/>
        </w:rPr>
        <w:t>（一）健全内部管理制度</w:t>
      </w:r>
      <w:bookmarkEnd w:id="39"/>
      <w:bookmarkEnd w:id="40"/>
      <w:bookmarkEnd w:id="41"/>
      <w:bookmarkEnd w:id="42"/>
      <w:r>
        <w:rPr>
          <w:rFonts w:hint="eastAsia" w:ascii="楷体_GB2312" w:eastAsia="楷体_GB2312"/>
          <w:sz w:val="32"/>
          <w:szCs w:val="32"/>
        </w:rPr>
        <w:t>。</w:t>
      </w:r>
      <w:r>
        <w:rPr>
          <w:rFonts w:hint="eastAsia" w:ascii="仿宋_GB2312" w:eastAsia="仿宋_GB2312"/>
          <w:color w:val="000000"/>
          <w:sz w:val="32"/>
          <w:szCs w:val="32"/>
        </w:rPr>
        <w:t>项目承接单位应依据《山东省省级社会组织发展资金管理办法》和本指引的规定，加强对项目的管理，制定切实可行的实施方案，建立项目管理制度，明确项目执行的程序、进度、责任，对项目执行中的重大事项应履行集体决策程序并做好记录。在项目资金使用方面，应健全项目资金使用管理制度，明确资金的来源、受益对象和社会服务活动的确定原则和程序、项目财务管理原则和会计核算、资金的使用与监督等，将项目资金和配套资金全部纳入项目单位统一核算和管理。</w:t>
      </w:r>
    </w:p>
    <w:p w14:paraId="5290EC74">
      <w:pPr>
        <w:spacing w:line="620" w:lineRule="exact"/>
        <w:ind w:firstLine="640" w:firstLineChars="200"/>
        <w:outlineLvl w:val="1"/>
        <w:rPr>
          <w:rFonts w:hint="eastAsia" w:ascii="仿宋_GB2312" w:eastAsia="仿宋_GB2312"/>
          <w:color w:val="000000"/>
          <w:sz w:val="32"/>
          <w:szCs w:val="32"/>
        </w:rPr>
      </w:pPr>
      <w:bookmarkStart w:id="43" w:name="_Toc203747153"/>
      <w:bookmarkStart w:id="44" w:name="_Toc134793803"/>
      <w:bookmarkStart w:id="45" w:name="_Toc134793480"/>
      <w:bookmarkStart w:id="46" w:name="_Toc203747179"/>
      <w:r>
        <w:rPr>
          <w:rFonts w:hint="eastAsia" w:ascii="楷体_GB2312" w:eastAsia="楷体_GB2312"/>
          <w:sz w:val="32"/>
          <w:szCs w:val="32"/>
        </w:rPr>
        <w:t>（二）规范项目执行</w:t>
      </w:r>
      <w:bookmarkEnd w:id="43"/>
      <w:bookmarkEnd w:id="44"/>
      <w:bookmarkEnd w:id="45"/>
      <w:bookmarkEnd w:id="46"/>
      <w:r>
        <w:rPr>
          <w:rFonts w:hint="eastAsia" w:ascii="楷体_GB2312" w:eastAsia="楷体_GB2312"/>
          <w:sz w:val="32"/>
          <w:szCs w:val="32"/>
        </w:rPr>
        <w:t>。</w:t>
      </w:r>
      <w:r>
        <w:rPr>
          <w:rFonts w:hint="eastAsia" w:ascii="仿宋_GB2312" w:eastAsia="仿宋_GB2312"/>
          <w:color w:val="000000"/>
          <w:sz w:val="32"/>
          <w:szCs w:val="32"/>
        </w:rPr>
        <w:t>项目承接单位应加强项目执行能力建设，规范项目的执行，不得将项目转包、分包给其他组织实施，更不得将项目委托给社会组织负责人、分支机构负责人、与员工有直接利益关系的组织或个人合作开展。</w:t>
      </w:r>
    </w:p>
    <w:p w14:paraId="651FE645">
      <w:pPr>
        <w:spacing w:line="620" w:lineRule="exact"/>
        <w:ind w:firstLine="640" w:firstLineChars="200"/>
        <w:outlineLvl w:val="2"/>
        <w:rPr>
          <w:rFonts w:hint="eastAsia" w:ascii="仿宋_GB2312" w:eastAsia="仿宋_GB2312"/>
          <w:color w:val="000000"/>
          <w:sz w:val="32"/>
          <w:szCs w:val="32"/>
        </w:rPr>
      </w:pPr>
      <w:bookmarkStart w:id="47" w:name="_Toc134793804"/>
      <w:bookmarkStart w:id="48" w:name="_Toc134793481"/>
      <w:bookmarkStart w:id="49" w:name="_Toc203747180"/>
      <w:r>
        <w:rPr>
          <w:rFonts w:hint="eastAsia" w:ascii="仿宋_GB2312" w:eastAsia="仿宋_GB2312"/>
          <w:sz w:val="32"/>
          <w:szCs w:val="32"/>
        </w:rPr>
        <w:t>1.加强受益对象的选择</w:t>
      </w:r>
      <w:bookmarkEnd w:id="47"/>
      <w:bookmarkEnd w:id="48"/>
      <w:bookmarkEnd w:id="49"/>
      <w:r>
        <w:rPr>
          <w:rFonts w:hint="eastAsia" w:ascii="仿宋_GB2312" w:eastAsia="仿宋_GB2312"/>
          <w:sz w:val="32"/>
          <w:szCs w:val="32"/>
        </w:rPr>
        <w:t>。</w:t>
      </w:r>
      <w:r>
        <w:rPr>
          <w:rFonts w:hint="eastAsia" w:ascii="仿宋_GB2312" w:eastAsia="仿宋_GB2312"/>
          <w:color w:val="000000"/>
          <w:sz w:val="32"/>
          <w:szCs w:val="32"/>
        </w:rPr>
        <w:t>项目受益对象的选择应当遵循公开、公正、公平和诚实信用的原则，建立受益对象公平选择的制度机制，根据申报书确定受益对象的种类，进一步明确受益对象的标准和选择程序。项目承接单位应按规定的标准和程序确定受益对象，妥善保管受益对象选择及相关证明材料，必要时在一定范围内履行公示程序，以确保所选择的受益对象符合项目申报书的要求。</w:t>
      </w:r>
    </w:p>
    <w:p w14:paraId="3DAB8ACE">
      <w:pPr>
        <w:spacing w:line="620" w:lineRule="exact"/>
        <w:ind w:firstLine="640" w:firstLineChars="200"/>
        <w:outlineLvl w:val="2"/>
        <w:rPr>
          <w:rFonts w:hint="eastAsia" w:ascii="仿宋_GB2312" w:eastAsia="仿宋_GB2312"/>
          <w:color w:val="000000"/>
          <w:sz w:val="32"/>
          <w:szCs w:val="32"/>
        </w:rPr>
      </w:pPr>
      <w:bookmarkStart w:id="50" w:name="_Toc134793482"/>
      <w:bookmarkStart w:id="51" w:name="_Toc203747181"/>
      <w:bookmarkStart w:id="52" w:name="_Toc134793805"/>
      <w:r>
        <w:rPr>
          <w:rFonts w:hint="eastAsia" w:ascii="仿宋_GB2312" w:eastAsia="仿宋_GB2312"/>
          <w:sz w:val="32"/>
          <w:szCs w:val="32"/>
        </w:rPr>
        <w:t>2.规范物资或服务的购买及使用</w:t>
      </w:r>
      <w:bookmarkEnd w:id="50"/>
      <w:bookmarkEnd w:id="51"/>
      <w:bookmarkEnd w:id="52"/>
      <w:r>
        <w:rPr>
          <w:rFonts w:hint="eastAsia" w:ascii="仿宋_GB2312" w:eastAsia="仿宋_GB2312"/>
          <w:sz w:val="32"/>
          <w:szCs w:val="32"/>
        </w:rPr>
        <w:t>。</w:t>
      </w:r>
      <w:r>
        <w:rPr>
          <w:rFonts w:hint="eastAsia" w:ascii="仿宋_GB2312" w:eastAsia="仿宋_GB2312"/>
          <w:color w:val="000000"/>
          <w:sz w:val="32"/>
          <w:szCs w:val="32"/>
        </w:rPr>
        <w:t>项目承接单位应建立有效的内部控制程序，购买物资或相关服务应履行必要的市场询价或比价程序，以保证购买价格的公允，项目承接单位应保存市场询价（或比价）的过程资料，这些资料包括但不限于：服务(供应)商的基本资料、服务内容或物资的品质要求、报价资料、决策过程资料等。购买服务或物资达到1万元以上的应签订合同，合同中必须明确约定双方的权利和义务，合同内容和条款应全面完整，包括但不限于当事人名称、标的、数量、质量、价款及履行期限、地点、方式、违约责任等，确保合同经济、合理、有效。项目承接单位不得向与社会组织负责人、分支机构负责人、员工有直接利益关系的组织或个人购买服务或物资。</w:t>
      </w:r>
    </w:p>
    <w:p w14:paraId="04A64342">
      <w:pPr>
        <w:spacing w:line="620" w:lineRule="exact"/>
        <w:ind w:firstLine="640" w:firstLineChars="200"/>
        <w:outlineLvl w:val="2"/>
        <w:rPr>
          <w:rFonts w:hint="eastAsia" w:ascii="仿宋_GB2312" w:eastAsia="仿宋_GB2312"/>
          <w:color w:val="000000"/>
          <w:sz w:val="32"/>
          <w:szCs w:val="32"/>
        </w:rPr>
      </w:pPr>
      <w:bookmarkStart w:id="53" w:name="_Toc134793483"/>
      <w:bookmarkStart w:id="54" w:name="_Toc134793806"/>
      <w:bookmarkStart w:id="55" w:name="_Toc203747182"/>
      <w:r>
        <w:rPr>
          <w:rFonts w:hint="eastAsia" w:ascii="仿宋_GB2312" w:eastAsia="仿宋_GB2312"/>
          <w:sz w:val="32"/>
          <w:szCs w:val="32"/>
        </w:rPr>
        <w:t>3.禁止将项目转包、分包给其他组织实施</w:t>
      </w:r>
      <w:bookmarkEnd w:id="53"/>
      <w:bookmarkEnd w:id="54"/>
      <w:bookmarkEnd w:id="55"/>
      <w:r>
        <w:rPr>
          <w:rFonts w:hint="eastAsia" w:ascii="仿宋_GB2312" w:eastAsia="仿宋_GB2312"/>
          <w:sz w:val="32"/>
          <w:szCs w:val="32"/>
        </w:rPr>
        <w:t>。</w:t>
      </w:r>
      <w:r>
        <w:rPr>
          <w:rFonts w:hint="eastAsia" w:ascii="仿宋_GB2312" w:eastAsia="仿宋_GB2312"/>
          <w:color w:val="000000"/>
          <w:sz w:val="32"/>
          <w:szCs w:val="32"/>
        </w:rPr>
        <w:t>项目承接单位应直接将受助款物拨付受益对象或购买服务和物资的单位，不得将项目转包、分包给其他组织实施，或将项目资金统一拨付中间人并由中间人转付。要正确区分分包转包行为与购买服务的区别，如：体检或医疗救治项目，项目承接单位委托具有相应资质的体检机构、医院为受益对象服务的行为，属于购买服务；而将款项拨付中间人（包括合作执行方），并通过中间人（无相应资质）委托给体检机构或医院进行服务，则属于分包或转包行为。</w:t>
      </w:r>
    </w:p>
    <w:p w14:paraId="043230C2">
      <w:pPr>
        <w:spacing w:line="620" w:lineRule="exact"/>
        <w:ind w:firstLine="640" w:firstLineChars="200"/>
        <w:outlineLvl w:val="2"/>
        <w:rPr>
          <w:rFonts w:hint="eastAsia" w:ascii="仿宋_GB2312" w:eastAsia="仿宋_GB2312"/>
          <w:color w:val="000000"/>
          <w:sz w:val="32"/>
          <w:szCs w:val="32"/>
        </w:rPr>
      </w:pPr>
      <w:bookmarkStart w:id="56" w:name="_Toc203747183"/>
      <w:bookmarkStart w:id="57" w:name="_Toc134793484"/>
      <w:bookmarkStart w:id="58" w:name="_Toc134793807"/>
      <w:r>
        <w:rPr>
          <w:rFonts w:hint="eastAsia" w:ascii="仿宋_GB2312" w:eastAsia="仿宋_GB2312"/>
          <w:sz w:val="32"/>
          <w:szCs w:val="32"/>
        </w:rPr>
        <w:t>4.履行受益对象确认</w:t>
      </w:r>
      <w:bookmarkEnd w:id="56"/>
      <w:bookmarkEnd w:id="57"/>
      <w:bookmarkEnd w:id="58"/>
      <w:r>
        <w:rPr>
          <w:rFonts w:hint="eastAsia" w:ascii="仿宋_GB2312" w:eastAsia="仿宋_GB2312"/>
          <w:sz w:val="32"/>
          <w:szCs w:val="32"/>
        </w:rPr>
        <w:t>。</w:t>
      </w:r>
      <w:r>
        <w:rPr>
          <w:rFonts w:hint="eastAsia" w:ascii="仿宋_GB2312" w:eastAsia="仿宋_GB2312"/>
          <w:color w:val="000000"/>
          <w:sz w:val="32"/>
          <w:szCs w:val="32"/>
        </w:rPr>
        <w:t>为保证项目实施的有效性，无论资金来源是省社会组织发展资金还是承接单位自有配套资金，均应加强提供服务的管理和监督，规范提供服务的程序。项目承接单位均须对公益服务支出履行受益对象确认程序，由受益对象填写《受益对象确认书》以确认接受服务的内容和金额。受益对象确认的要求如下：</w:t>
      </w:r>
    </w:p>
    <w:p w14:paraId="2DAA744D">
      <w:pPr>
        <w:spacing w:line="620" w:lineRule="exact"/>
        <w:ind w:firstLine="640" w:firstLineChars="200"/>
        <w:outlineLvl w:val="3"/>
        <w:rPr>
          <w:rFonts w:hint="eastAsia" w:ascii="仿宋_GB2312" w:eastAsia="仿宋_GB2312"/>
          <w:color w:val="000000"/>
          <w:sz w:val="32"/>
          <w:szCs w:val="32"/>
        </w:rPr>
      </w:pPr>
      <w:bookmarkStart w:id="59" w:name="_Toc134793808"/>
      <w:bookmarkStart w:id="60" w:name="_Toc134793485"/>
      <w:r>
        <w:rPr>
          <w:rFonts w:hint="eastAsia" w:ascii="仿宋_GB2312" w:hAnsi="微软雅黑" w:eastAsia="仿宋_GB2312"/>
          <w:sz w:val="32"/>
          <w:szCs w:val="32"/>
        </w:rPr>
        <w:t>（1）确认书内容完整</w:t>
      </w:r>
      <w:bookmarkEnd w:id="59"/>
      <w:bookmarkEnd w:id="60"/>
      <w:r>
        <w:rPr>
          <w:rFonts w:hint="eastAsia" w:ascii="仿宋_GB2312" w:hAnsi="微软雅黑" w:eastAsia="仿宋_GB2312"/>
          <w:sz w:val="32"/>
          <w:szCs w:val="32"/>
        </w:rPr>
        <w:t>。</w:t>
      </w:r>
      <w:r>
        <w:rPr>
          <w:rFonts w:hint="eastAsia" w:ascii="仿宋_GB2312" w:eastAsia="仿宋_GB2312"/>
          <w:color w:val="000000"/>
          <w:sz w:val="32"/>
          <w:szCs w:val="32"/>
        </w:rPr>
        <w:t>项目承接单位应当根据自身提供服务的特点，参考《受益对象确认书》格式文本（见附件）及本指引要求，印制格式化的《受益对象确认书》；承接单位印制《受益对象确认书》可对受助方式、名称（种类）、规格等作适当修改，其他内容必须保留，受益金额为印刷体；若同一受益对象多次受益（接受多种服务种类或多次接受服务），应在《受益对象确认书》中列明总金额，另附受益对象签字确认的证明材料或明细；受益对象确认书一式两份，由项目承接单位和受益对象各持一份。</w:t>
      </w:r>
    </w:p>
    <w:p w14:paraId="3E550B81">
      <w:pPr>
        <w:spacing w:line="620" w:lineRule="exact"/>
        <w:ind w:firstLine="640" w:firstLineChars="200"/>
        <w:outlineLvl w:val="3"/>
        <w:rPr>
          <w:rFonts w:hint="eastAsia" w:ascii="仿宋_GB2312" w:eastAsia="仿宋_GB2312"/>
          <w:color w:val="000000"/>
          <w:sz w:val="32"/>
          <w:szCs w:val="32"/>
        </w:rPr>
      </w:pPr>
      <w:bookmarkStart w:id="61" w:name="_Toc134793486"/>
      <w:bookmarkStart w:id="62" w:name="_Toc134793809"/>
      <w:r>
        <w:rPr>
          <w:rFonts w:hint="eastAsia" w:ascii="仿宋_GB2312" w:hAnsi="微软雅黑" w:eastAsia="仿宋_GB2312"/>
          <w:sz w:val="32"/>
          <w:szCs w:val="32"/>
        </w:rPr>
        <w:t>（2）确认程序规范</w:t>
      </w:r>
      <w:bookmarkEnd w:id="61"/>
      <w:bookmarkEnd w:id="62"/>
      <w:r>
        <w:rPr>
          <w:rFonts w:hint="eastAsia" w:ascii="仿宋_GB2312" w:hAnsi="微软雅黑" w:eastAsia="仿宋_GB2312"/>
          <w:sz w:val="32"/>
          <w:szCs w:val="32"/>
        </w:rPr>
        <w:t>。项目</w:t>
      </w:r>
      <w:r>
        <w:rPr>
          <w:rFonts w:hint="eastAsia" w:ascii="仿宋_GB2312" w:eastAsia="仿宋_GB2312"/>
          <w:color w:val="000000"/>
          <w:sz w:val="32"/>
          <w:szCs w:val="32"/>
        </w:rPr>
        <w:t>受益对象确认书必须由受益对象或受益对象的监护人签字确认，对于无法由受益对象或受益对象的监护人确认签字的，应由两个以上证明人签字，同时注明证明人身份证号和联系方式。不得出现受益对象确认书无签名的现象,也不得出现由单位(村、镇)代签或使用汇总表格式替代的现象。</w:t>
      </w:r>
    </w:p>
    <w:p w14:paraId="743DDFDE">
      <w:pPr>
        <w:spacing w:line="620" w:lineRule="exact"/>
        <w:ind w:firstLine="640" w:firstLineChars="200"/>
        <w:outlineLvl w:val="3"/>
        <w:rPr>
          <w:rFonts w:hint="eastAsia" w:ascii="仿宋_GB2312" w:eastAsia="仿宋_GB2312"/>
          <w:color w:val="000000"/>
          <w:sz w:val="32"/>
          <w:szCs w:val="32"/>
        </w:rPr>
      </w:pPr>
      <w:bookmarkStart w:id="63" w:name="_Toc134793810"/>
      <w:bookmarkStart w:id="64" w:name="_Toc134793487"/>
      <w:r>
        <w:rPr>
          <w:rFonts w:hint="eastAsia" w:ascii="仿宋_GB2312" w:hAnsi="微软雅黑" w:eastAsia="仿宋_GB2312"/>
          <w:sz w:val="32"/>
          <w:szCs w:val="32"/>
        </w:rPr>
        <w:t>（3）确认书真实有效</w:t>
      </w:r>
      <w:bookmarkEnd w:id="63"/>
      <w:bookmarkEnd w:id="64"/>
      <w:r>
        <w:rPr>
          <w:rFonts w:hint="eastAsia" w:ascii="仿宋_GB2312" w:hAnsi="微软雅黑" w:eastAsia="仿宋_GB2312"/>
          <w:sz w:val="32"/>
          <w:szCs w:val="32"/>
        </w:rPr>
        <w:t>。</w:t>
      </w:r>
      <w:r>
        <w:rPr>
          <w:rFonts w:hint="eastAsia" w:ascii="仿宋_GB2312" w:eastAsia="仿宋_GB2312"/>
          <w:color w:val="000000"/>
          <w:sz w:val="32"/>
          <w:szCs w:val="32"/>
        </w:rPr>
        <w:t>确认受益对象时，项目承接单位应确保《受益对象确认书》的真实性，不得弄虚作假。</w:t>
      </w:r>
    </w:p>
    <w:p w14:paraId="7D46216A">
      <w:pPr>
        <w:spacing w:line="620" w:lineRule="exact"/>
        <w:ind w:firstLine="640" w:firstLineChars="200"/>
        <w:outlineLvl w:val="3"/>
        <w:rPr>
          <w:rFonts w:hint="eastAsia" w:ascii="仿宋_GB2312" w:eastAsia="仿宋_GB2312"/>
          <w:color w:val="000000"/>
          <w:sz w:val="32"/>
          <w:szCs w:val="32"/>
        </w:rPr>
      </w:pPr>
      <w:bookmarkStart w:id="65" w:name="_Toc134793488"/>
      <w:bookmarkStart w:id="66" w:name="_Toc134793811"/>
      <w:r>
        <w:rPr>
          <w:rFonts w:hint="eastAsia" w:ascii="仿宋_GB2312" w:hAnsi="微软雅黑" w:eastAsia="仿宋_GB2312"/>
          <w:sz w:val="32"/>
          <w:szCs w:val="32"/>
        </w:rPr>
        <w:t>（4）妥善保管确认书</w:t>
      </w:r>
      <w:bookmarkEnd w:id="65"/>
      <w:bookmarkEnd w:id="66"/>
      <w:r>
        <w:rPr>
          <w:rFonts w:hint="eastAsia" w:ascii="仿宋_GB2312" w:hAnsi="微软雅黑" w:eastAsia="仿宋_GB2312"/>
          <w:sz w:val="32"/>
          <w:szCs w:val="32"/>
        </w:rPr>
        <w:t>。</w:t>
      </w:r>
      <w:r>
        <w:rPr>
          <w:rFonts w:hint="eastAsia" w:ascii="仿宋_GB2312" w:eastAsia="仿宋_GB2312"/>
          <w:color w:val="000000"/>
          <w:sz w:val="32"/>
          <w:szCs w:val="32"/>
        </w:rPr>
        <w:t>应将受益对象确认书装订成册，并编制受益对象汇总表，妥善保管，以备查阅。</w:t>
      </w:r>
    </w:p>
    <w:p w14:paraId="2C859F8A">
      <w:pPr>
        <w:spacing w:line="620" w:lineRule="exact"/>
        <w:ind w:firstLine="640" w:firstLineChars="200"/>
        <w:outlineLvl w:val="3"/>
        <w:rPr>
          <w:rFonts w:hint="eastAsia" w:ascii="仿宋_GB2312" w:eastAsia="仿宋_GB2312"/>
          <w:color w:val="000000"/>
          <w:sz w:val="32"/>
          <w:szCs w:val="32"/>
        </w:rPr>
      </w:pPr>
      <w:bookmarkStart w:id="67" w:name="_Toc134793812"/>
      <w:bookmarkStart w:id="68" w:name="_Toc134793489"/>
      <w:r>
        <w:rPr>
          <w:rFonts w:hint="eastAsia" w:ascii="仿宋_GB2312" w:hAnsi="微软雅黑" w:eastAsia="仿宋_GB2312"/>
          <w:sz w:val="32"/>
          <w:szCs w:val="32"/>
        </w:rPr>
        <w:t>（5）特殊事项的处理</w:t>
      </w:r>
      <w:bookmarkEnd w:id="67"/>
      <w:bookmarkEnd w:id="68"/>
      <w:r>
        <w:rPr>
          <w:rFonts w:hint="eastAsia" w:ascii="仿宋_GB2312" w:hAnsi="微软雅黑" w:eastAsia="仿宋_GB2312"/>
          <w:sz w:val="32"/>
          <w:szCs w:val="32"/>
        </w:rPr>
        <w:t>。具体情形：</w:t>
      </w:r>
      <w:r>
        <w:rPr>
          <w:rFonts w:hint="eastAsia" w:ascii="仿宋_GB2312" w:eastAsia="仿宋_GB2312"/>
          <w:color w:val="000000"/>
          <w:sz w:val="32"/>
          <w:szCs w:val="32"/>
        </w:rPr>
        <w:t>①人员培训项目不需填列受益对象确认书，依据培训人员签到表，结合培训工作总结判断受益对象是否属实。签到表必须体现项目名称、项目承接单位、受益对象姓名、身份证号、联系方式等基本信息，并由本人签字认可。对于采用电子信息系统进行报名和签到管理的项目，应保留履行报到手续的相关信息和记录；②属于项目执行费用的支出（如：纳入预算的宣传资料）不需要填列受益对象确认书，但对于发放宣传资料的应保留物品发放表。物品发放表应包括领取人姓名、身份证号、联系电话、发放物品名称数量和金额并由领取人签字；③项目承接单位将资金拨付社会福利院，由社会福利院聘请护工对受益对象进行照料的，由福利院对每个受益对象填写受益对象确认书，并将照料记录作为受益对象确认书的附件；④</w:t>
      </w:r>
      <w:r>
        <w:rPr>
          <w:rFonts w:ascii="仿宋_GB2312" w:eastAsia="仿宋_GB2312"/>
          <w:color w:val="000000"/>
          <w:sz w:val="32"/>
          <w:szCs w:val="32"/>
        </w:rPr>
        <w:t>开展受益对象回访。</w:t>
      </w:r>
      <w:r>
        <w:rPr>
          <w:rFonts w:hint="eastAsia" w:ascii="仿宋_GB2312" w:eastAsia="仿宋_GB2312"/>
          <w:color w:val="000000"/>
          <w:sz w:val="32"/>
          <w:szCs w:val="32"/>
        </w:rPr>
        <w:t>为</w:t>
      </w:r>
      <w:r>
        <w:rPr>
          <w:rFonts w:ascii="仿宋_GB2312" w:eastAsia="仿宋_GB2312"/>
          <w:color w:val="000000"/>
          <w:sz w:val="32"/>
          <w:szCs w:val="32"/>
        </w:rPr>
        <w:t>保证项目实施的有效性，将</w:t>
      </w:r>
      <w:r>
        <w:rPr>
          <w:rFonts w:hint="eastAsia" w:ascii="仿宋_GB2312" w:eastAsia="仿宋_GB2312"/>
          <w:color w:val="000000"/>
          <w:sz w:val="32"/>
          <w:szCs w:val="32"/>
        </w:rPr>
        <w:t>委托</w:t>
      </w:r>
      <w:r>
        <w:rPr>
          <w:rFonts w:ascii="仿宋_GB2312" w:eastAsia="仿宋_GB2312"/>
          <w:color w:val="000000"/>
          <w:sz w:val="32"/>
          <w:szCs w:val="32"/>
        </w:rPr>
        <w:t>会计师事务所</w:t>
      </w:r>
      <w:r>
        <w:rPr>
          <w:rFonts w:hint="eastAsia" w:ascii="仿宋_GB2312" w:eastAsia="仿宋_GB2312"/>
          <w:color w:val="000000"/>
          <w:sz w:val="32"/>
          <w:szCs w:val="32"/>
        </w:rPr>
        <w:t>选取</w:t>
      </w:r>
      <w:r>
        <w:rPr>
          <w:rFonts w:ascii="仿宋_GB2312" w:eastAsia="仿宋_GB2312"/>
          <w:color w:val="000000"/>
          <w:sz w:val="32"/>
          <w:szCs w:val="32"/>
        </w:rPr>
        <w:t>部分受益人采用电话方式就受益人是否接受过救助、救助方式、救助</w:t>
      </w:r>
      <w:r>
        <w:rPr>
          <w:rFonts w:hint="eastAsia" w:ascii="仿宋_GB2312" w:eastAsia="仿宋_GB2312"/>
          <w:color w:val="000000"/>
          <w:sz w:val="32"/>
          <w:szCs w:val="32"/>
        </w:rPr>
        <w:t>金额</w:t>
      </w:r>
      <w:r>
        <w:rPr>
          <w:rFonts w:ascii="仿宋_GB2312" w:eastAsia="仿宋_GB2312"/>
          <w:color w:val="000000"/>
          <w:sz w:val="32"/>
          <w:szCs w:val="32"/>
        </w:rPr>
        <w:t>等进行回访。</w:t>
      </w:r>
    </w:p>
    <w:p w14:paraId="2E76254D">
      <w:pPr>
        <w:spacing w:before="156" w:beforeLines="50" w:after="156" w:afterLines="50" w:line="620" w:lineRule="exact"/>
        <w:jc w:val="center"/>
        <w:outlineLvl w:val="0"/>
        <w:rPr>
          <w:rFonts w:hint="eastAsia" w:ascii="黑体" w:hAnsi="黑体" w:eastAsia="黑体"/>
          <w:sz w:val="32"/>
          <w:szCs w:val="32"/>
        </w:rPr>
      </w:pPr>
      <w:bookmarkStart w:id="69" w:name="_Toc203747184"/>
      <w:bookmarkStart w:id="70" w:name="_Toc134793491"/>
      <w:bookmarkStart w:id="71" w:name="_Toc203747154"/>
      <w:bookmarkStart w:id="72" w:name="_Toc134793814"/>
      <w:bookmarkStart w:id="73" w:name="_Toc134792638"/>
      <w:r>
        <w:rPr>
          <w:rFonts w:hint="eastAsia" w:ascii="黑体" w:hAnsi="黑体" w:eastAsia="黑体"/>
          <w:sz w:val="32"/>
          <w:szCs w:val="32"/>
        </w:rPr>
        <w:t>四、项目资金管理</w:t>
      </w:r>
      <w:bookmarkEnd w:id="69"/>
      <w:bookmarkEnd w:id="70"/>
      <w:bookmarkEnd w:id="71"/>
      <w:bookmarkEnd w:id="72"/>
      <w:bookmarkEnd w:id="73"/>
    </w:p>
    <w:p w14:paraId="3B35B711">
      <w:pPr>
        <w:spacing w:line="620" w:lineRule="exact"/>
        <w:ind w:firstLine="640" w:firstLineChars="200"/>
        <w:outlineLvl w:val="1"/>
        <w:rPr>
          <w:rFonts w:hint="eastAsia" w:ascii="楷体_GB2312" w:eastAsia="楷体_GB2312"/>
          <w:sz w:val="32"/>
          <w:szCs w:val="32"/>
        </w:rPr>
      </w:pPr>
      <w:bookmarkStart w:id="74" w:name="_Toc134793492"/>
      <w:bookmarkStart w:id="75" w:name="_Toc203747185"/>
      <w:bookmarkStart w:id="76" w:name="_Toc134793815"/>
      <w:bookmarkStart w:id="77" w:name="_Toc203747155"/>
      <w:r>
        <w:rPr>
          <w:rFonts w:hint="eastAsia" w:ascii="楷体_GB2312" w:eastAsia="楷体_GB2312"/>
          <w:sz w:val="32"/>
          <w:szCs w:val="32"/>
        </w:rPr>
        <w:t>（一）严格资金使用</w:t>
      </w:r>
      <w:bookmarkEnd w:id="74"/>
      <w:bookmarkEnd w:id="75"/>
      <w:bookmarkEnd w:id="76"/>
      <w:bookmarkEnd w:id="77"/>
    </w:p>
    <w:p w14:paraId="5BC1FFB7">
      <w:pPr>
        <w:spacing w:line="620" w:lineRule="exact"/>
        <w:ind w:firstLine="640" w:firstLineChars="200"/>
        <w:outlineLvl w:val="2"/>
        <w:rPr>
          <w:rFonts w:hint="eastAsia" w:ascii="仿宋_GB2312" w:eastAsia="仿宋_GB2312"/>
          <w:color w:val="000000"/>
          <w:sz w:val="32"/>
          <w:szCs w:val="32"/>
        </w:rPr>
      </w:pPr>
      <w:bookmarkStart w:id="78" w:name="_Toc203747186"/>
      <w:bookmarkStart w:id="79" w:name="_Toc134793493"/>
      <w:bookmarkStart w:id="80" w:name="_Toc134793816"/>
      <w:r>
        <w:rPr>
          <w:rFonts w:hint="eastAsia" w:ascii="仿宋_GB2312" w:eastAsia="仿宋_GB2312"/>
          <w:sz w:val="32"/>
          <w:szCs w:val="32"/>
        </w:rPr>
        <w:t>1.规范资金拨付和使用程序</w:t>
      </w:r>
      <w:bookmarkEnd w:id="78"/>
      <w:bookmarkEnd w:id="79"/>
      <w:bookmarkEnd w:id="80"/>
      <w:r>
        <w:rPr>
          <w:rFonts w:hint="eastAsia" w:ascii="仿宋_GB2312" w:eastAsia="仿宋_GB2312"/>
          <w:sz w:val="32"/>
          <w:szCs w:val="32"/>
        </w:rPr>
        <w:t>。</w:t>
      </w:r>
      <w:r>
        <w:rPr>
          <w:rFonts w:hint="eastAsia" w:ascii="仿宋_GB2312" w:eastAsia="仿宋_GB2312"/>
          <w:color w:val="000000"/>
          <w:sz w:val="32"/>
          <w:szCs w:val="32"/>
        </w:rPr>
        <w:t>项目承接单位应严格资金使用的管理，按照下达的绩效目标组织预算执行，按项目进度使用和拨付，减少不必要的中间环节，将项目资金直接拨付服务或商品的提供方，不得通过中间人转付，更不得将资金转移到其他组织留存。项目资金使用应遵守国家有关现金和银行结算的管理规定，不得出现大额支付现金、超范围支付现金、公款私存等行为，劳务费的发放以及单笔在1000元以上的其他支出应采用银行转账方式支付。</w:t>
      </w:r>
    </w:p>
    <w:p w14:paraId="0A8007D7">
      <w:pPr>
        <w:spacing w:line="620" w:lineRule="exact"/>
        <w:ind w:firstLine="640" w:firstLineChars="200"/>
        <w:outlineLvl w:val="2"/>
        <w:rPr>
          <w:rFonts w:hint="eastAsia" w:ascii="仿宋_GB2312" w:eastAsia="仿宋_GB2312"/>
          <w:color w:val="000000"/>
          <w:sz w:val="32"/>
          <w:szCs w:val="32"/>
        </w:rPr>
      </w:pPr>
      <w:bookmarkStart w:id="81" w:name="_Toc134793817"/>
      <w:bookmarkStart w:id="82" w:name="_Toc134793494"/>
      <w:bookmarkStart w:id="83" w:name="_Toc203747187"/>
      <w:r>
        <w:rPr>
          <w:rFonts w:hint="eastAsia" w:ascii="仿宋_GB2312" w:eastAsia="仿宋_GB2312"/>
          <w:sz w:val="32"/>
          <w:szCs w:val="32"/>
        </w:rPr>
        <w:t>2.严格资金使用的审批</w:t>
      </w:r>
      <w:bookmarkEnd w:id="81"/>
      <w:bookmarkEnd w:id="82"/>
      <w:bookmarkEnd w:id="83"/>
      <w:r>
        <w:rPr>
          <w:rFonts w:hint="eastAsia" w:ascii="仿宋_GB2312" w:eastAsia="仿宋_GB2312"/>
          <w:sz w:val="32"/>
          <w:szCs w:val="32"/>
        </w:rPr>
        <w:t>。</w:t>
      </w:r>
      <w:r>
        <w:rPr>
          <w:rFonts w:hint="eastAsia" w:ascii="仿宋_GB2312" w:eastAsia="仿宋_GB2312"/>
          <w:color w:val="000000"/>
          <w:sz w:val="32"/>
          <w:szCs w:val="32"/>
        </w:rPr>
        <w:t>项目承接单位应建立项目支出审批制度，明确支出的审批的权限、程序、责任和相关控制措施，明确经办人、项目负责人、授权批准人、审核（复核）人员的职责和工作要求。项目执行中应严格遵守所建立的审批制度，经办人、项目负责人、授权批准人、财务人员应按规定履行职责。项目资金应据实列支，支出报销时应标明为本项目支出，列明支出事由或用途，使用合规合法的票据，不得使用不合法票据或虚假票据作为支出凭据，不得出现“以拨代支”、无发票列支费用的现象。</w:t>
      </w:r>
    </w:p>
    <w:p w14:paraId="176F767F">
      <w:pPr>
        <w:spacing w:line="620" w:lineRule="exact"/>
        <w:ind w:firstLine="640" w:firstLineChars="200"/>
        <w:outlineLvl w:val="2"/>
        <w:rPr>
          <w:rFonts w:hint="eastAsia" w:ascii="仿宋_GB2312" w:eastAsia="仿宋_GB2312"/>
          <w:color w:val="000000"/>
          <w:sz w:val="32"/>
          <w:szCs w:val="32"/>
        </w:rPr>
      </w:pPr>
      <w:bookmarkStart w:id="84" w:name="_Toc134793818"/>
      <w:bookmarkStart w:id="85" w:name="_Toc134793495"/>
      <w:bookmarkStart w:id="86" w:name="_Toc203747188"/>
      <w:r>
        <w:rPr>
          <w:rFonts w:hint="eastAsia" w:ascii="仿宋_GB2312" w:eastAsia="仿宋_GB2312"/>
          <w:sz w:val="32"/>
          <w:szCs w:val="32"/>
        </w:rPr>
        <w:t>3.按规定的范围和标准使用资金</w:t>
      </w:r>
      <w:bookmarkEnd w:id="84"/>
      <w:bookmarkEnd w:id="85"/>
      <w:bookmarkEnd w:id="86"/>
      <w:r>
        <w:rPr>
          <w:rFonts w:hint="eastAsia" w:ascii="仿宋_GB2312" w:eastAsia="仿宋_GB2312"/>
          <w:sz w:val="32"/>
          <w:szCs w:val="32"/>
        </w:rPr>
        <w:t>。</w:t>
      </w:r>
      <w:r>
        <w:rPr>
          <w:rFonts w:hint="eastAsia" w:ascii="仿宋_GB2312" w:eastAsia="仿宋_GB2312"/>
          <w:color w:val="000000"/>
          <w:sz w:val="32"/>
          <w:szCs w:val="32"/>
        </w:rPr>
        <w:t>项目承接单位应严格资金使用管理，统筹项目资金使用进度，保证用好管好项目资金。项目承接单位应本着经济、节约、合理的原则，以项目预算为依据，严格按照预算所明确的受益对象或服务活动的范围、数量、标准据实列支，将省级财政资金和配套资金全部用于申报书所规定的受益对象或社会服务活动，留存与支出相关的原始资料。具体要求如下：</w:t>
      </w:r>
    </w:p>
    <w:p w14:paraId="063DFBC6">
      <w:pPr>
        <w:spacing w:line="620" w:lineRule="exact"/>
        <w:ind w:firstLine="640" w:firstLineChars="200"/>
        <w:outlineLvl w:val="3"/>
        <w:rPr>
          <w:rFonts w:hint="eastAsia" w:ascii="仿宋_GB2312" w:eastAsia="仿宋_GB2312"/>
          <w:color w:val="000000"/>
          <w:sz w:val="32"/>
          <w:szCs w:val="32"/>
        </w:rPr>
      </w:pPr>
      <w:bookmarkStart w:id="87" w:name="_Toc134793819"/>
      <w:bookmarkStart w:id="88" w:name="_Toc134793496"/>
      <w:r>
        <w:rPr>
          <w:rFonts w:hint="eastAsia" w:ascii="仿宋_GB2312" w:hAnsi="微软雅黑" w:eastAsia="仿宋_GB2312"/>
          <w:sz w:val="32"/>
          <w:szCs w:val="32"/>
        </w:rPr>
        <w:t>（1）培训费</w:t>
      </w:r>
      <w:bookmarkEnd w:id="87"/>
      <w:bookmarkEnd w:id="88"/>
      <w:r>
        <w:rPr>
          <w:rFonts w:hint="eastAsia" w:ascii="仿宋_GB2312" w:hAnsi="微软雅黑" w:eastAsia="仿宋_GB2312"/>
          <w:sz w:val="32"/>
          <w:szCs w:val="32"/>
        </w:rPr>
        <w:t>。</w:t>
      </w:r>
      <w:r>
        <w:rPr>
          <w:rFonts w:hint="eastAsia" w:ascii="仿宋_GB2312" w:eastAsia="仿宋_GB2312"/>
          <w:color w:val="000000"/>
          <w:sz w:val="32"/>
          <w:szCs w:val="32"/>
        </w:rPr>
        <w:t>项目承接单位应本着节约原则，在《山东省省级社会组织发展资金管理办法》规定的标准范围内，依据预算据实列支，并按照《山东省省直机关培训费管理办法》的规定进行管理。项目承接单位应保留培训通知、方案及日程、师资简介及资质证明、讲义、会场照片、参加人员名单（姓名、单位、职务、身份证号、联系电话）、培训总结、讲课费签收单、会议场所消费原始明细单据、电子结算单等凭证。讲课费签收单应列明领取人姓名、身份证号码、联系电话、工作单位、职务或职称情况、讲课费金额、领取人员签字等内容。讲课费应当保留能证明教师身份及职称、能力的资料。讲课费应以转账方式直接支付给授课老师，不得现金支付，更不得通过其他单位或个人转付。</w:t>
      </w:r>
    </w:p>
    <w:p w14:paraId="2CD2B795">
      <w:pPr>
        <w:spacing w:line="620" w:lineRule="exact"/>
        <w:ind w:firstLine="640" w:firstLineChars="200"/>
        <w:outlineLvl w:val="3"/>
        <w:rPr>
          <w:rFonts w:hint="eastAsia" w:ascii="仿宋_GB2312" w:eastAsia="仿宋_GB2312"/>
          <w:color w:val="000000"/>
          <w:sz w:val="32"/>
          <w:szCs w:val="32"/>
        </w:rPr>
      </w:pPr>
      <w:bookmarkStart w:id="89" w:name="_Toc134793497"/>
      <w:bookmarkStart w:id="90" w:name="_Toc134793820"/>
      <w:r>
        <w:rPr>
          <w:rFonts w:hint="eastAsia" w:ascii="仿宋_GB2312" w:hAnsi="微软雅黑" w:eastAsia="仿宋_GB2312"/>
          <w:sz w:val="32"/>
          <w:szCs w:val="32"/>
        </w:rPr>
        <w:t>（2）劳务费</w:t>
      </w:r>
      <w:bookmarkEnd w:id="89"/>
      <w:bookmarkEnd w:id="90"/>
      <w:r>
        <w:rPr>
          <w:rFonts w:hint="eastAsia" w:ascii="仿宋_GB2312" w:hAnsi="微软雅黑" w:eastAsia="仿宋_GB2312"/>
          <w:sz w:val="32"/>
          <w:szCs w:val="32"/>
        </w:rPr>
        <w:t>。</w:t>
      </w:r>
      <w:r>
        <w:rPr>
          <w:rFonts w:hint="eastAsia" w:ascii="仿宋_GB2312" w:eastAsia="仿宋_GB2312"/>
          <w:color w:val="000000"/>
          <w:sz w:val="32"/>
          <w:szCs w:val="32"/>
        </w:rPr>
        <w:t>劳务费应根据实际工作时间及标准，在预算范围内据实列支。项目承接单位应当保留工作内容工时记录，并填制劳务费支付表（签收单），劳务费支付表应列明领取人姓名、身份证号码、联系电话、工作单位、职务或职称情况、工作内容和时间、劳务费金额、领取人员签字等内容。发放劳务费除提供以上资料的，还需提供以下证明：支付专家咨询费的，应提供专家职称证书复印件；支付志愿者补贴的，必须提供领取人在山东志愿服务信息系统注册的证明或志愿服务组织注册的证明；支付临时工作人员劳务费的，领取人是非志愿者身份，且与项目单位签订劳务合同。劳务费应以转账方式直接支付给提供劳务的志愿者、专家等，不得现金支付，更不得通过其他单位或个人转付。</w:t>
      </w:r>
    </w:p>
    <w:p w14:paraId="02558BD5">
      <w:pPr>
        <w:spacing w:line="620" w:lineRule="exact"/>
        <w:ind w:firstLine="640" w:firstLineChars="200"/>
        <w:outlineLvl w:val="3"/>
        <w:rPr>
          <w:rFonts w:hint="eastAsia" w:ascii="仿宋_GB2312" w:eastAsia="仿宋_GB2312"/>
          <w:color w:val="000000"/>
          <w:sz w:val="32"/>
          <w:szCs w:val="32"/>
        </w:rPr>
      </w:pPr>
      <w:bookmarkStart w:id="91" w:name="_Toc134793821"/>
      <w:bookmarkStart w:id="92" w:name="_Toc134793498"/>
      <w:r>
        <w:rPr>
          <w:rFonts w:hint="eastAsia" w:ascii="仿宋_GB2312" w:hAnsi="微软雅黑" w:eastAsia="仿宋_GB2312"/>
          <w:sz w:val="32"/>
          <w:szCs w:val="32"/>
        </w:rPr>
        <w:t>（3</w:t>
      </w:r>
      <w:bookmarkEnd w:id="91"/>
      <w:bookmarkEnd w:id="92"/>
      <w:bookmarkStart w:id="93" w:name="_Toc134793499"/>
      <w:bookmarkStart w:id="94" w:name="_Toc134793822"/>
      <w:r>
        <w:rPr>
          <w:rFonts w:hint="eastAsia" w:ascii="仿宋_GB2312" w:hAnsi="微软雅黑" w:eastAsia="仿宋_GB2312"/>
          <w:sz w:val="32"/>
          <w:szCs w:val="32"/>
        </w:rPr>
        <w:t>）差旅费</w:t>
      </w:r>
      <w:bookmarkEnd w:id="93"/>
      <w:bookmarkEnd w:id="94"/>
      <w:r>
        <w:rPr>
          <w:rFonts w:hint="eastAsia" w:ascii="仿宋_GB2312" w:hAnsi="微软雅黑" w:eastAsia="仿宋_GB2312"/>
          <w:sz w:val="32"/>
          <w:szCs w:val="32"/>
        </w:rPr>
        <w:t>。</w:t>
      </w:r>
      <w:r>
        <w:rPr>
          <w:rFonts w:hint="eastAsia" w:ascii="仿宋_GB2312" w:eastAsia="仿宋_GB2312"/>
          <w:color w:val="000000"/>
          <w:sz w:val="32"/>
          <w:szCs w:val="32"/>
        </w:rPr>
        <w:t>项目承接单位应本着厉行节约的原则，依据预算据实列支。差旅费应参照国家有关规定执行；报销差旅费时，除票据外，报销单据中应注明出差人员姓名、出差时间、事由、起止地、费用类型等。</w:t>
      </w:r>
    </w:p>
    <w:p w14:paraId="40CA617A">
      <w:pPr>
        <w:spacing w:line="620" w:lineRule="exact"/>
        <w:ind w:firstLine="640" w:firstLineChars="200"/>
        <w:outlineLvl w:val="3"/>
        <w:rPr>
          <w:rFonts w:hint="eastAsia" w:ascii="仿宋_GB2312" w:eastAsia="仿宋_GB2312"/>
          <w:color w:val="000000"/>
          <w:sz w:val="32"/>
          <w:szCs w:val="32"/>
        </w:rPr>
      </w:pPr>
      <w:bookmarkStart w:id="95" w:name="_Toc134793500"/>
      <w:bookmarkStart w:id="96" w:name="_Toc134793823"/>
      <w:r>
        <w:rPr>
          <w:rFonts w:hint="eastAsia" w:ascii="仿宋_GB2312" w:hAnsi="微软雅黑" w:eastAsia="仿宋_GB2312"/>
          <w:sz w:val="32"/>
          <w:szCs w:val="32"/>
        </w:rPr>
        <w:t>（4）会议费</w:t>
      </w:r>
      <w:bookmarkEnd w:id="95"/>
      <w:bookmarkEnd w:id="96"/>
      <w:r>
        <w:rPr>
          <w:rFonts w:hint="eastAsia" w:ascii="仿宋_GB2312" w:hAnsi="微软雅黑" w:eastAsia="仿宋_GB2312"/>
          <w:sz w:val="32"/>
          <w:szCs w:val="32"/>
        </w:rPr>
        <w:t>。</w:t>
      </w:r>
      <w:r>
        <w:rPr>
          <w:rFonts w:hint="eastAsia" w:ascii="仿宋_GB2312" w:eastAsia="仿宋_GB2312"/>
          <w:color w:val="000000"/>
          <w:sz w:val="32"/>
          <w:szCs w:val="32"/>
        </w:rPr>
        <w:t>按照规定的标准依据预算据实列支，并参照《山东省省直机关会议费管理办法》（鲁财行〔2025〕9号）管理。项目承接单位应当保留会议通知、会议日程、会议材料、会场照片、相关合同（场地使用、印刷会议资料、购买会议用品等）、实际参会人员签到表（包括姓名、单位、职务、联系电话）、会议总结或成果、会议服务单位提供的费用原始明细单据、电子结算单等凭证。</w:t>
      </w:r>
    </w:p>
    <w:p w14:paraId="59E8D006">
      <w:pPr>
        <w:spacing w:line="620" w:lineRule="exact"/>
        <w:ind w:firstLine="640" w:firstLineChars="200"/>
        <w:outlineLvl w:val="3"/>
        <w:rPr>
          <w:rFonts w:hint="eastAsia" w:ascii="仿宋_GB2312" w:eastAsia="仿宋_GB2312"/>
          <w:color w:val="000000"/>
          <w:sz w:val="32"/>
          <w:szCs w:val="32"/>
        </w:rPr>
      </w:pPr>
      <w:bookmarkStart w:id="97" w:name="_Toc134793501"/>
      <w:bookmarkStart w:id="98" w:name="_Toc134793824"/>
      <w:r>
        <w:rPr>
          <w:rFonts w:hint="eastAsia" w:ascii="仿宋_GB2312" w:hAnsi="微软雅黑" w:eastAsia="仿宋_GB2312"/>
          <w:sz w:val="32"/>
          <w:szCs w:val="32"/>
        </w:rPr>
        <w:t>（5）印刷、宣传费</w:t>
      </w:r>
      <w:bookmarkEnd w:id="97"/>
      <w:bookmarkEnd w:id="98"/>
      <w:r>
        <w:rPr>
          <w:rFonts w:hint="eastAsia" w:ascii="仿宋_GB2312" w:hAnsi="微软雅黑" w:eastAsia="仿宋_GB2312"/>
          <w:sz w:val="32"/>
          <w:szCs w:val="32"/>
        </w:rPr>
        <w:t>。</w:t>
      </w:r>
      <w:r>
        <w:rPr>
          <w:rFonts w:hint="eastAsia" w:ascii="仿宋_GB2312" w:eastAsia="仿宋_GB2312"/>
          <w:color w:val="000000"/>
          <w:sz w:val="32"/>
          <w:szCs w:val="32"/>
        </w:rPr>
        <w:t>依据预算据实列支印刷、宣传费。除发票和付款记录外，项目承接单位应保留相关合同、印刷清单、印刷样品等相关资料。</w:t>
      </w:r>
    </w:p>
    <w:p w14:paraId="7DF562EB">
      <w:pPr>
        <w:spacing w:line="620" w:lineRule="exact"/>
        <w:ind w:firstLine="640" w:firstLineChars="200"/>
        <w:outlineLvl w:val="3"/>
        <w:rPr>
          <w:rFonts w:hint="eastAsia" w:ascii="仿宋_GB2312" w:eastAsia="仿宋_GB2312"/>
          <w:color w:val="000000"/>
          <w:sz w:val="32"/>
          <w:szCs w:val="32"/>
        </w:rPr>
      </w:pPr>
      <w:bookmarkStart w:id="99" w:name="_Toc134793504"/>
      <w:bookmarkStart w:id="100" w:name="_Toc134793827"/>
      <w:r>
        <w:rPr>
          <w:rFonts w:hint="eastAsia" w:ascii="仿宋_GB2312" w:hAnsi="微软雅黑" w:eastAsia="仿宋_GB2312"/>
          <w:sz w:val="32"/>
          <w:szCs w:val="32"/>
        </w:rPr>
        <w:t>（6）开展服务的其他支出</w:t>
      </w:r>
      <w:bookmarkEnd w:id="99"/>
      <w:bookmarkEnd w:id="100"/>
      <w:r>
        <w:rPr>
          <w:rFonts w:hint="eastAsia" w:ascii="仿宋_GB2312" w:hAnsi="微软雅黑" w:eastAsia="仿宋_GB2312"/>
          <w:sz w:val="32"/>
          <w:szCs w:val="32"/>
        </w:rPr>
        <w:t>。</w:t>
      </w:r>
      <w:r>
        <w:rPr>
          <w:rFonts w:hint="eastAsia" w:ascii="仿宋_GB2312" w:eastAsia="仿宋_GB2312"/>
          <w:color w:val="000000"/>
          <w:sz w:val="32"/>
          <w:szCs w:val="32"/>
        </w:rPr>
        <w:t>应在预算规定的范围内据实列支。项目承接单位应在预算规定的范围内，按照预算列明的种类、数量、标准进行发放，并保存购买物资或服务的资料、签收资料、开展服务活动的过程资料，同时必须保存受益对象签字确认的《受益对象确认书》等。</w:t>
      </w:r>
    </w:p>
    <w:p w14:paraId="5A394560">
      <w:pPr>
        <w:spacing w:line="620" w:lineRule="exact"/>
        <w:ind w:firstLine="640" w:firstLineChars="200"/>
        <w:outlineLvl w:val="2"/>
        <w:rPr>
          <w:rFonts w:hint="eastAsia" w:ascii="仿宋_GB2312" w:eastAsia="仿宋_GB2312"/>
          <w:color w:val="000000"/>
          <w:sz w:val="32"/>
          <w:szCs w:val="32"/>
        </w:rPr>
      </w:pPr>
      <w:bookmarkStart w:id="101" w:name="_Toc134793828"/>
      <w:bookmarkStart w:id="102" w:name="_Toc203747189"/>
      <w:bookmarkStart w:id="103" w:name="_Toc134793505"/>
      <w:r>
        <w:rPr>
          <w:rFonts w:hint="eastAsia" w:ascii="仿宋_GB2312" w:eastAsia="仿宋_GB2312"/>
          <w:sz w:val="32"/>
          <w:szCs w:val="32"/>
        </w:rPr>
        <w:t>4.按规定缴纳各项税费</w:t>
      </w:r>
      <w:bookmarkEnd w:id="101"/>
      <w:bookmarkEnd w:id="102"/>
      <w:bookmarkEnd w:id="103"/>
      <w:r>
        <w:rPr>
          <w:rFonts w:hint="eastAsia" w:ascii="仿宋_GB2312" w:eastAsia="仿宋_GB2312"/>
          <w:sz w:val="32"/>
          <w:szCs w:val="32"/>
        </w:rPr>
        <w:t>。</w:t>
      </w:r>
      <w:r>
        <w:rPr>
          <w:rFonts w:hint="eastAsia" w:ascii="仿宋_GB2312" w:eastAsia="仿宋_GB2312"/>
          <w:color w:val="000000"/>
          <w:sz w:val="32"/>
          <w:szCs w:val="32"/>
        </w:rPr>
        <w:t>属于应税收入的应按规定缴纳税费，对发放的劳务费应按规定代扣代缴个人所得税。</w:t>
      </w:r>
    </w:p>
    <w:p w14:paraId="61FCE535">
      <w:pPr>
        <w:spacing w:line="620" w:lineRule="exact"/>
        <w:ind w:firstLine="640" w:firstLineChars="200"/>
        <w:outlineLvl w:val="1"/>
        <w:rPr>
          <w:rFonts w:hint="eastAsia" w:ascii="楷体_GB2312" w:eastAsia="楷体_GB2312"/>
          <w:sz w:val="32"/>
          <w:szCs w:val="32"/>
        </w:rPr>
      </w:pPr>
      <w:bookmarkStart w:id="104" w:name="_Toc134793829"/>
      <w:bookmarkStart w:id="105" w:name="_Toc134793506"/>
      <w:bookmarkStart w:id="106" w:name="_Toc203747156"/>
      <w:bookmarkStart w:id="107" w:name="_Toc203747190"/>
      <w:r>
        <w:rPr>
          <w:rFonts w:hint="eastAsia" w:ascii="楷体_GB2312" w:eastAsia="楷体_GB2312"/>
          <w:sz w:val="32"/>
          <w:szCs w:val="32"/>
        </w:rPr>
        <w:t>（二）配套资金使用管理</w:t>
      </w:r>
      <w:bookmarkEnd w:id="104"/>
      <w:bookmarkEnd w:id="105"/>
      <w:bookmarkEnd w:id="106"/>
      <w:bookmarkEnd w:id="107"/>
    </w:p>
    <w:p w14:paraId="487FC7F6">
      <w:pPr>
        <w:widowControl/>
        <w:spacing w:line="6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配套资金应按立项申报书载明的金额及时足额投入，按申报书列明的支出类型、标准和金额使用，并由项目承接单位统一核算与管理。确认配套资金时，应遵循如下原则：（１）一般情况下，配套资金应以项目承接单位实际使用的金额予以确认，未纳入项目承接单位核算与管理的收支不确认为配套资金；（２）对于使用自有资金配套的，应以实际发生且符合规定的支出金额确认；（3）项目实施不得挪用其他项目资金作为配套资金，不得将限定用途的社会募集资金和专项财政资金用作本项目配套资金。</w:t>
      </w:r>
    </w:p>
    <w:p w14:paraId="460F85D5">
      <w:pPr>
        <w:spacing w:before="156" w:beforeLines="50" w:after="156" w:afterLines="50" w:line="620" w:lineRule="exact"/>
        <w:jc w:val="center"/>
        <w:outlineLvl w:val="0"/>
        <w:rPr>
          <w:rFonts w:hint="eastAsia" w:ascii="黑体" w:hAnsi="黑体" w:eastAsia="黑体"/>
          <w:sz w:val="32"/>
          <w:szCs w:val="32"/>
        </w:rPr>
      </w:pPr>
      <w:bookmarkStart w:id="108" w:name="_Toc203747157"/>
      <w:bookmarkStart w:id="109" w:name="_Toc134793831"/>
      <w:bookmarkStart w:id="110" w:name="_Toc134793508"/>
      <w:bookmarkStart w:id="111" w:name="_Toc203747191"/>
      <w:r>
        <w:rPr>
          <w:rFonts w:hint="eastAsia" w:ascii="黑体" w:hAnsi="黑体" w:eastAsia="黑体"/>
          <w:sz w:val="32"/>
          <w:szCs w:val="32"/>
        </w:rPr>
        <w:t>五、项目会计核算</w:t>
      </w:r>
      <w:bookmarkEnd w:id="108"/>
      <w:bookmarkEnd w:id="109"/>
      <w:bookmarkEnd w:id="110"/>
      <w:bookmarkEnd w:id="111"/>
    </w:p>
    <w:p w14:paraId="46F66ED5">
      <w:pPr>
        <w:spacing w:line="6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项目承接单位应按照《山东省省级社会组织发展资金管理办法》和《民间非营利组织会计制度》，依据真实、合法的支出凭证进行核算，将开展项目所取得的全部资金纳入本组织合法账簿进行核算和管理，做到核算清晰，能够区分省级财政资金和配套资金的来源和使用情况。项目承接单位应按项目进行明细核算或费用归集，保证支出与项目的相关性，避免因核算不清而导致支出无法确认的情况发生。项目承接单位应参考以下要求进行项目资金的核算。</w:t>
      </w:r>
    </w:p>
    <w:p w14:paraId="6C197081">
      <w:pPr>
        <w:spacing w:line="620" w:lineRule="exact"/>
        <w:ind w:firstLine="640" w:firstLineChars="200"/>
        <w:outlineLvl w:val="1"/>
        <w:rPr>
          <w:rFonts w:hint="eastAsia" w:ascii="仿宋_GB2312" w:eastAsia="仿宋_GB2312"/>
          <w:color w:val="000000"/>
          <w:sz w:val="32"/>
          <w:szCs w:val="32"/>
        </w:rPr>
      </w:pPr>
      <w:bookmarkStart w:id="112" w:name="_Toc134793832"/>
      <w:bookmarkStart w:id="113" w:name="_Toc203747158"/>
      <w:bookmarkStart w:id="114" w:name="_Toc134793509"/>
      <w:bookmarkStart w:id="115" w:name="_Toc203747192"/>
      <w:r>
        <w:rPr>
          <w:rFonts w:hint="eastAsia" w:ascii="楷体_GB2312" w:eastAsia="楷体_GB2312"/>
          <w:sz w:val="32"/>
          <w:szCs w:val="32"/>
        </w:rPr>
        <w:t>（一）收入核算</w:t>
      </w:r>
      <w:bookmarkEnd w:id="112"/>
      <w:bookmarkEnd w:id="113"/>
      <w:bookmarkEnd w:id="114"/>
      <w:bookmarkEnd w:id="115"/>
      <w:r>
        <w:rPr>
          <w:rFonts w:hint="eastAsia" w:ascii="楷体_GB2312" w:eastAsia="楷体_GB2312"/>
          <w:sz w:val="32"/>
          <w:szCs w:val="32"/>
        </w:rPr>
        <w:t>。</w:t>
      </w:r>
      <w:r>
        <w:rPr>
          <w:rFonts w:hint="eastAsia" w:ascii="仿宋_GB2312" w:eastAsia="仿宋_GB2312"/>
          <w:color w:val="000000"/>
          <w:sz w:val="32"/>
          <w:szCs w:val="32"/>
        </w:rPr>
        <w:t>对收到的省级社会组织发展资金，应按“政府补助收入—限定性收入—项目名称—省级财政补助收入”设置明细科目进行核算；对收到的捐赠收入，应按“捐赠收入—限定性收入—项目名称”设置明细科目进行核算。对于使用自有资金作为配套资金的，账面不进行收入的核算。对于收到的其他类型配套资金，项目承接单位应参照上述方法，根据具体情况进行明细核算。</w:t>
      </w:r>
    </w:p>
    <w:p w14:paraId="18BA2055">
      <w:pPr>
        <w:spacing w:line="580" w:lineRule="exact"/>
        <w:ind w:firstLine="640" w:firstLineChars="200"/>
        <w:outlineLvl w:val="1"/>
        <w:rPr>
          <w:rFonts w:hint="eastAsia" w:ascii="仿宋_GB2312" w:eastAsia="仿宋_GB2312"/>
          <w:color w:val="000000"/>
          <w:sz w:val="32"/>
          <w:szCs w:val="32"/>
        </w:rPr>
      </w:pPr>
      <w:bookmarkStart w:id="116" w:name="_Toc134793833"/>
      <w:bookmarkStart w:id="117" w:name="_Toc134793510"/>
      <w:bookmarkStart w:id="118" w:name="_Toc203747159"/>
      <w:bookmarkStart w:id="119" w:name="_Toc203747193"/>
      <w:r>
        <w:rPr>
          <w:rFonts w:hint="eastAsia" w:ascii="楷体_GB2312" w:eastAsia="楷体_GB2312"/>
          <w:sz w:val="32"/>
          <w:szCs w:val="32"/>
        </w:rPr>
        <w:t>（二）支出核算</w:t>
      </w:r>
      <w:bookmarkEnd w:id="116"/>
      <w:bookmarkEnd w:id="117"/>
      <w:bookmarkEnd w:id="118"/>
      <w:bookmarkEnd w:id="119"/>
      <w:r>
        <w:rPr>
          <w:rFonts w:hint="eastAsia" w:ascii="楷体_GB2312" w:eastAsia="楷体_GB2312"/>
          <w:sz w:val="32"/>
          <w:szCs w:val="32"/>
        </w:rPr>
        <w:t>。</w:t>
      </w:r>
      <w:r>
        <w:rPr>
          <w:rFonts w:hint="eastAsia" w:ascii="仿宋_GB2312" w:eastAsia="仿宋_GB2312"/>
          <w:color w:val="000000"/>
          <w:sz w:val="32"/>
          <w:szCs w:val="32"/>
        </w:rPr>
        <w:t>对于使用省级社会组织发展资金的支出，项目承接单位按“业务活动成本—政府补助成本—项目名称—省级财政资金—子项目名称”设置明细科目进行核算；对于使用收到的捐赠收入的支出，项目承接单位按“业务活动成本—捐赠业务成本—项目名称—子项目名称”设置明细科目进行核算；对于使用自有资金作为配套资金的，按“业务活动成本－提供服务成本—项目名称—子项目名称”设置明细科目进行核算。前文所述“子项目”是指项目预算表中列示的开展服务的具体项目或费用类型，会计核算时应与预算表保持一致。各项目承接单位根据自身的需要可以在子项目名称下设置费用明细进行核算。</w:t>
      </w:r>
    </w:p>
    <w:p w14:paraId="2AE15F0D">
      <w:pPr>
        <w:spacing w:before="156" w:beforeLines="50" w:after="156" w:afterLines="50" w:line="600" w:lineRule="exact"/>
        <w:jc w:val="center"/>
        <w:outlineLvl w:val="0"/>
        <w:rPr>
          <w:rFonts w:hint="eastAsia" w:ascii="黑体" w:hAnsi="黑体" w:eastAsia="黑体"/>
          <w:sz w:val="32"/>
          <w:szCs w:val="32"/>
        </w:rPr>
      </w:pPr>
      <w:bookmarkStart w:id="120" w:name="_Toc203747194"/>
      <w:bookmarkStart w:id="121" w:name="_Toc134793512"/>
      <w:bookmarkStart w:id="122" w:name="_Toc134793835"/>
      <w:bookmarkStart w:id="123" w:name="_Toc203747160"/>
      <w:r>
        <w:rPr>
          <w:rFonts w:hint="eastAsia" w:ascii="黑体" w:hAnsi="黑体" w:eastAsia="黑体"/>
          <w:sz w:val="32"/>
          <w:szCs w:val="32"/>
        </w:rPr>
        <w:t>六、项目档案管理</w:t>
      </w:r>
      <w:bookmarkEnd w:id="120"/>
      <w:bookmarkEnd w:id="121"/>
      <w:bookmarkEnd w:id="122"/>
      <w:bookmarkEnd w:id="123"/>
    </w:p>
    <w:p w14:paraId="413A5962">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项目承接单位应当根据《中华人民共和国档案法》的规定，规范项目资料的管理，建立健全项目档案的立卷、归档、保管、查阅和销毁等管理制度，及时将项目立项、执行、财务、受益对象确认、监督、评估等资料汇集整理，保证项目资料的妥善保管、有序存放、方便查阅、严防毁损、散失和泄密。项目承接单位应保存的资料如下：</w:t>
      </w:r>
    </w:p>
    <w:p w14:paraId="22C6BB60">
      <w:pPr>
        <w:spacing w:line="600" w:lineRule="exact"/>
        <w:ind w:firstLine="640" w:firstLineChars="200"/>
        <w:outlineLvl w:val="1"/>
        <w:rPr>
          <w:rFonts w:ascii="仿宋_GB2312" w:eastAsia="仿宋_GB2312"/>
          <w:color w:val="000000"/>
          <w:sz w:val="32"/>
          <w:szCs w:val="32"/>
        </w:rPr>
      </w:pPr>
      <w:bookmarkStart w:id="124" w:name="_Toc134793836"/>
      <w:bookmarkStart w:id="125" w:name="_Toc134793513"/>
      <w:bookmarkStart w:id="126" w:name="_Toc203747161"/>
      <w:bookmarkStart w:id="127" w:name="_Toc203747195"/>
      <w:r>
        <w:rPr>
          <w:rFonts w:hint="eastAsia" w:ascii="楷体_GB2312" w:eastAsia="楷体_GB2312"/>
          <w:sz w:val="32"/>
          <w:szCs w:val="32"/>
        </w:rPr>
        <w:t>（一）项目立项过程中的资料</w:t>
      </w:r>
      <w:bookmarkEnd w:id="124"/>
      <w:bookmarkEnd w:id="125"/>
      <w:bookmarkEnd w:id="126"/>
      <w:bookmarkEnd w:id="127"/>
      <w:r>
        <w:rPr>
          <w:rFonts w:hint="eastAsia" w:ascii="楷体_GB2312" w:eastAsia="楷体_GB2312"/>
          <w:sz w:val="32"/>
          <w:szCs w:val="32"/>
        </w:rPr>
        <w:t>。</w:t>
      </w:r>
      <w:r>
        <w:rPr>
          <w:rFonts w:hint="eastAsia" w:ascii="仿宋_GB2312" w:eastAsia="仿宋_GB2312"/>
          <w:color w:val="000000"/>
          <w:sz w:val="32"/>
          <w:szCs w:val="32"/>
        </w:rPr>
        <w:t>项目立项过程中的资料包括项目方案、内部立项批准文件、项目申报书、项目预算调整审批表及其附件等。</w:t>
      </w:r>
      <w:bookmarkStart w:id="128" w:name="_Toc134793837"/>
      <w:bookmarkStart w:id="129" w:name="_Toc134793514"/>
    </w:p>
    <w:p w14:paraId="1CADBA75">
      <w:pPr>
        <w:widowControl/>
        <w:spacing w:line="600" w:lineRule="exact"/>
        <w:ind w:firstLine="640" w:firstLineChars="200"/>
        <w:outlineLvl w:val="1"/>
        <w:rPr>
          <w:rFonts w:hint="eastAsia" w:ascii="仿宋_GB2312" w:eastAsia="仿宋_GB2312"/>
          <w:color w:val="000000"/>
          <w:sz w:val="32"/>
          <w:szCs w:val="32"/>
        </w:rPr>
      </w:pPr>
      <w:bookmarkStart w:id="130" w:name="_Toc203747196"/>
      <w:bookmarkStart w:id="131" w:name="_Toc203747162"/>
      <w:r>
        <w:rPr>
          <w:rFonts w:hint="eastAsia" w:ascii="楷体_GB2312" w:eastAsia="楷体_GB2312"/>
          <w:sz w:val="32"/>
          <w:szCs w:val="32"/>
        </w:rPr>
        <w:t>（二）项目执行过程中的资料</w:t>
      </w:r>
      <w:bookmarkEnd w:id="128"/>
      <w:bookmarkEnd w:id="129"/>
      <w:bookmarkEnd w:id="130"/>
      <w:bookmarkEnd w:id="131"/>
      <w:r>
        <w:rPr>
          <w:rFonts w:hint="eastAsia" w:ascii="楷体_GB2312" w:eastAsia="楷体_GB2312"/>
          <w:sz w:val="32"/>
          <w:szCs w:val="32"/>
        </w:rPr>
        <w:t>。</w:t>
      </w:r>
      <w:r>
        <w:rPr>
          <w:rFonts w:hint="eastAsia" w:ascii="仿宋_GB2312" w:eastAsia="仿宋_GB2312"/>
          <w:color w:val="000000"/>
          <w:sz w:val="32"/>
          <w:szCs w:val="32"/>
        </w:rPr>
        <w:t>包括但不限于：选择并确定受益对象的资料、受益对象汇总表、购买物资或服务的资料、物品发放及签收资料、开展服务活动的过程资料、受益对象签字确认的《受益对象确认书》。</w:t>
      </w:r>
    </w:p>
    <w:p w14:paraId="08E4B665">
      <w:pPr>
        <w:widowControl/>
        <w:spacing w:line="600" w:lineRule="exact"/>
        <w:ind w:firstLine="640" w:firstLineChars="200"/>
        <w:outlineLvl w:val="1"/>
        <w:rPr>
          <w:rFonts w:hint="eastAsia" w:ascii="仿宋_GB2312" w:eastAsia="仿宋_GB2312"/>
          <w:color w:val="000000"/>
          <w:sz w:val="32"/>
          <w:szCs w:val="32"/>
        </w:rPr>
      </w:pPr>
      <w:bookmarkStart w:id="132" w:name="_Toc134793838"/>
      <w:bookmarkStart w:id="133" w:name="_Toc134793515"/>
      <w:bookmarkStart w:id="134" w:name="_Toc203747197"/>
      <w:bookmarkStart w:id="135" w:name="_Toc203747163"/>
      <w:r>
        <w:rPr>
          <w:rFonts w:hint="eastAsia" w:ascii="楷体_GB2312" w:eastAsia="楷体_GB2312"/>
          <w:sz w:val="32"/>
          <w:szCs w:val="32"/>
        </w:rPr>
        <w:t>（三）项目评估和后续监督资料</w:t>
      </w:r>
      <w:bookmarkEnd w:id="132"/>
      <w:bookmarkEnd w:id="133"/>
      <w:bookmarkEnd w:id="134"/>
      <w:bookmarkEnd w:id="135"/>
      <w:r>
        <w:rPr>
          <w:rFonts w:hint="eastAsia" w:ascii="楷体_GB2312" w:eastAsia="楷体_GB2312"/>
          <w:sz w:val="32"/>
          <w:szCs w:val="32"/>
        </w:rPr>
        <w:t>。</w:t>
      </w:r>
      <w:r>
        <w:rPr>
          <w:rFonts w:hint="eastAsia" w:ascii="仿宋_GB2312" w:eastAsia="仿宋_GB2312"/>
          <w:color w:val="000000"/>
          <w:sz w:val="32"/>
          <w:szCs w:val="32"/>
        </w:rPr>
        <w:t>项目执行完毕后，应按形成结项报告，包括：项目评估报告、项目实施情况、资金使用管理情况、宣传推广情况、项目收支明细表。项目承接单位应及时将项目资料整理并归档。</w:t>
      </w:r>
    </w:p>
    <w:p w14:paraId="6C1055E3">
      <w:pPr>
        <w:spacing w:before="156" w:beforeLines="50" w:after="156" w:afterLines="50" w:line="600" w:lineRule="exact"/>
        <w:jc w:val="center"/>
        <w:outlineLvl w:val="0"/>
        <w:rPr>
          <w:rFonts w:hint="eastAsia" w:ascii="黑体" w:hAnsi="黑体" w:eastAsia="黑体"/>
          <w:sz w:val="32"/>
          <w:szCs w:val="32"/>
        </w:rPr>
      </w:pPr>
      <w:bookmarkStart w:id="136" w:name="_Toc203747164"/>
      <w:bookmarkStart w:id="137" w:name="_Toc134793516"/>
      <w:bookmarkStart w:id="138" w:name="_Toc203747198"/>
      <w:bookmarkStart w:id="139" w:name="_Toc134793839"/>
      <w:r>
        <w:rPr>
          <w:rFonts w:hint="eastAsia" w:ascii="黑体" w:hAnsi="黑体" w:eastAsia="黑体"/>
          <w:sz w:val="32"/>
          <w:szCs w:val="32"/>
        </w:rPr>
        <w:t>七、违规行为及处罚</w:t>
      </w:r>
      <w:bookmarkEnd w:id="136"/>
      <w:bookmarkEnd w:id="137"/>
      <w:bookmarkEnd w:id="138"/>
      <w:bookmarkEnd w:id="139"/>
    </w:p>
    <w:p w14:paraId="717D669D">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项目承接单位应按《山东省省级社会组织发展资金管理办法》和本指引进行项目管理，规范资金使用，按时完成项目，实现项目目标。针对在项目执行中的问题，将根据具体情况对项目执行单位做出如下处理：</w:t>
      </w:r>
    </w:p>
    <w:p w14:paraId="4739F913">
      <w:pPr>
        <w:widowControl/>
        <w:spacing w:line="620" w:lineRule="exact"/>
        <w:ind w:firstLine="640" w:firstLineChars="200"/>
        <w:rPr>
          <w:rFonts w:hint="eastAsia" w:ascii="仿宋_GB2312" w:eastAsia="仿宋_GB2312"/>
          <w:color w:val="000000"/>
          <w:sz w:val="32"/>
          <w:szCs w:val="32"/>
        </w:rPr>
      </w:pPr>
      <w:r>
        <w:rPr>
          <w:rFonts w:hint="eastAsia" w:ascii="楷体" w:hAnsi="楷体" w:eastAsia="楷体" w:cs="仿宋_GB2312"/>
          <w:sz w:val="32"/>
          <w:szCs w:val="32"/>
        </w:rPr>
        <w:t>（一）</w:t>
      </w:r>
      <w:r>
        <w:rPr>
          <w:rFonts w:hint="eastAsia" w:ascii="楷体" w:hAnsi="楷体" w:eastAsia="楷体"/>
          <w:color w:val="000000"/>
          <w:sz w:val="32"/>
          <w:szCs w:val="32"/>
        </w:rPr>
        <w:t>有下列违反行为之一的，责令改正，调整会计账目，追回财政资金，限期退还违法所得，给予警告或者通报批评，列入社会组织黑名单，并在一定时间内不得再次申报项目。</w:t>
      </w:r>
      <w:r>
        <w:rPr>
          <w:rFonts w:hint="eastAsia" w:ascii="仿宋_GB2312" w:eastAsia="仿宋_GB2312"/>
          <w:color w:val="000000"/>
          <w:sz w:val="32"/>
          <w:szCs w:val="32"/>
        </w:rPr>
        <w:t>具体情形：（1）以虚报、冒领等手段骗取财政资金；（</w:t>
      </w:r>
      <w:r>
        <w:rPr>
          <w:rFonts w:ascii="仿宋_GB2312" w:eastAsia="仿宋_GB2312"/>
          <w:color w:val="000000"/>
          <w:sz w:val="32"/>
          <w:szCs w:val="32"/>
        </w:rPr>
        <w:t>2</w:t>
      </w:r>
      <w:r>
        <w:rPr>
          <w:rFonts w:hint="eastAsia" w:ascii="仿宋_GB2312" w:eastAsia="仿宋_GB2312"/>
          <w:color w:val="000000"/>
          <w:sz w:val="32"/>
          <w:szCs w:val="32"/>
        </w:rPr>
        <w:t>）截留、挪用财政资金；（</w:t>
      </w:r>
      <w:r>
        <w:rPr>
          <w:rFonts w:ascii="仿宋_GB2312" w:eastAsia="仿宋_GB2312"/>
          <w:color w:val="000000"/>
          <w:sz w:val="32"/>
          <w:szCs w:val="32"/>
        </w:rPr>
        <w:t>3</w:t>
      </w:r>
      <w:r>
        <w:rPr>
          <w:rFonts w:hint="eastAsia" w:ascii="仿宋_GB2312" w:eastAsia="仿宋_GB2312"/>
          <w:color w:val="000000"/>
          <w:sz w:val="32"/>
          <w:szCs w:val="32"/>
        </w:rPr>
        <w:t>）违规扩大开支范围，提高开支标准；（</w:t>
      </w:r>
      <w:r>
        <w:rPr>
          <w:rFonts w:ascii="仿宋_GB2312" w:eastAsia="仿宋_GB2312"/>
          <w:color w:val="000000"/>
          <w:sz w:val="32"/>
          <w:szCs w:val="32"/>
        </w:rPr>
        <w:t>4</w:t>
      </w:r>
      <w:r>
        <w:rPr>
          <w:rFonts w:hint="eastAsia" w:ascii="仿宋_GB2312" w:eastAsia="仿宋_GB2312"/>
          <w:color w:val="000000"/>
          <w:sz w:val="32"/>
          <w:szCs w:val="32"/>
        </w:rPr>
        <w:t>）使用虚假发票或其他虚假项目资料和财务会计资料套取财政资金；（</w:t>
      </w:r>
      <w:r>
        <w:rPr>
          <w:rFonts w:ascii="仿宋_GB2312" w:eastAsia="仿宋_GB2312"/>
          <w:color w:val="000000"/>
          <w:sz w:val="32"/>
          <w:szCs w:val="32"/>
        </w:rPr>
        <w:t>5</w:t>
      </w:r>
      <w:r>
        <w:rPr>
          <w:rFonts w:hint="eastAsia" w:ascii="仿宋_GB2312" w:eastAsia="仿宋_GB2312"/>
          <w:color w:val="000000"/>
          <w:sz w:val="32"/>
          <w:szCs w:val="32"/>
        </w:rPr>
        <w:t>）列支或提取管理费；（6）购买或修建楼堂馆所、缴纳罚款罚金、偿还债务、对外投资、购买汽车等；（7）列支无关的捐赠、赞助支出；（8）形成账外资产和小金库；（9）受益对象回访结果存在问题致使支出不能全部确认；（1</w:t>
      </w:r>
      <w:r>
        <w:rPr>
          <w:rFonts w:ascii="仿宋_GB2312" w:eastAsia="仿宋_GB2312"/>
          <w:color w:val="000000"/>
          <w:sz w:val="32"/>
          <w:szCs w:val="32"/>
        </w:rPr>
        <w:t>0</w:t>
      </w:r>
      <w:r>
        <w:rPr>
          <w:rFonts w:hint="eastAsia" w:ascii="仿宋_GB2312" w:eastAsia="仿宋_GB2312"/>
          <w:color w:val="000000"/>
          <w:sz w:val="32"/>
          <w:szCs w:val="32"/>
        </w:rPr>
        <w:t>）用于水电暖、装修、物业等运转费等；（1</w:t>
      </w:r>
      <w:r>
        <w:rPr>
          <w:rFonts w:ascii="仿宋_GB2312" w:eastAsia="仿宋_GB2312"/>
          <w:color w:val="000000"/>
          <w:sz w:val="32"/>
          <w:szCs w:val="32"/>
        </w:rPr>
        <w:t>1</w:t>
      </w:r>
      <w:r>
        <w:rPr>
          <w:rFonts w:hint="eastAsia" w:ascii="仿宋_GB2312" w:eastAsia="仿宋_GB2312"/>
          <w:color w:val="000000"/>
          <w:sz w:val="32"/>
          <w:szCs w:val="32"/>
        </w:rPr>
        <w:t>）其他违反规定使用、骗取财政资金的行为。</w:t>
      </w:r>
    </w:p>
    <w:p w14:paraId="0BCEC4B6">
      <w:pPr>
        <w:spacing w:line="620" w:lineRule="exact"/>
        <w:ind w:firstLine="640" w:firstLineChars="200"/>
        <w:rPr>
          <w:rFonts w:hint="eastAsia" w:ascii="仿宋_GB2312" w:eastAsia="仿宋_GB2312"/>
          <w:color w:val="000000"/>
          <w:sz w:val="32"/>
          <w:szCs w:val="32"/>
        </w:rPr>
      </w:pPr>
      <w:r>
        <w:rPr>
          <w:rFonts w:hint="eastAsia" w:ascii="楷体" w:hAnsi="楷体" w:eastAsia="楷体" w:cs="仿宋_GB2312"/>
          <w:sz w:val="32"/>
          <w:szCs w:val="32"/>
        </w:rPr>
        <w:t>（二）有下列违反行为之一的，责令改正，调整有关会计账目，对单位给予警告或者通报批评，列入黑名单一定时期内不得再次申报项目。具体情形：</w:t>
      </w:r>
      <w:r>
        <w:rPr>
          <w:rFonts w:hint="eastAsia" w:ascii="仿宋_GB2312" w:eastAsia="仿宋_GB2312"/>
          <w:color w:val="000000"/>
          <w:sz w:val="32"/>
          <w:szCs w:val="32"/>
        </w:rPr>
        <w:t>（1）分包、转包社会组织发展资金支持项目；（2）与社会组织内部人员（包括负责人、分支机构负责人、员工等）有直接利益关系的组织（或个人）合作开展项目或向其购买服务（物资）；（3）未能按时完成项目；（4）受益对象选择不规范或资料不齐全、导致受益人群不符合规定；（5）受益对象确认程序存在重大不足而又无法实施替代程序的；（6）购买物资或服务价格或接受捐赠的非货币资产价值存在不公允的现象；（7）项目档案存在虚假情况；（8）款物未按进度直接拨付受益对象或提供服务（购买物资）单位；（9）存在公款私存行为；（1</w:t>
      </w:r>
      <w:r>
        <w:rPr>
          <w:rFonts w:ascii="仿宋_GB2312" w:eastAsia="仿宋_GB2312"/>
          <w:color w:val="000000"/>
          <w:sz w:val="32"/>
          <w:szCs w:val="32"/>
        </w:rPr>
        <w:t>0</w:t>
      </w:r>
      <w:r>
        <w:rPr>
          <w:rFonts w:hint="eastAsia" w:ascii="仿宋_GB2312" w:eastAsia="仿宋_GB2312"/>
          <w:color w:val="000000"/>
          <w:sz w:val="32"/>
          <w:szCs w:val="32"/>
        </w:rPr>
        <w:t>）投入使用的配套资金低于配套资金预算金额的50%；（1</w:t>
      </w:r>
      <w:r>
        <w:rPr>
          <w:rFonts w:ascii="仿宋_GB2312" w:eastAsia="仿宋_GB2312"/>
          <w:color w:val="000000"/>
          <w:sz w:val="32"/>
          <w:szCs w:val="32"/>
        </w:rPr>
        <w:t>1</w:t>
      </w:r>
      <w:r>
        <w:rPr>
          <w:rFonts w:hint="eastAsia" w:ascii="仿宋_GB2312" w:eastAsia="仿宋_GB2312"/>
          <w:color w:val="000000"/>
          <w:sz w:val="32"/>
          <w:szCs w:val="32"/>
        </w:rPr>
        <w:t>）违反规定擅自调整预算（包括擅自调整项目内容、地点、受益对象、实施方式等）；（1</w:t>
      </w:r>
      <w:r>
        <w:rPr>
          <w:rFonts w:ascii="仿宋_GB2312" w:eastAsia="仿宋_GB2312"/>
          <w:color w:val="000000"/>
          <w:sz w:val="32"/>
          <w:szCs w:val="32"/>
        </w:rPr>
        <w:t>2</w:t>
      </w:r>
      <w:r>
        <w:rPr>
          <w:rFonts w:hint="eastAsia" w:ascii="仿宋_GB2312" w:eastAsia="仿宋_GB2312"/>
          <w:color w:val="000000"/>
          <w:sz w:val="32"/>
          <w:szCs w:val="32"/>
        </w:rPr>
        <w:t>）其他重大违规违纪行为。</w:t>
      </w:r>
    </w:p>
    <w:p w14:paraId="193A39D4">
      <w:pPr>
        <w:spacing w:line="620" w:lineRule="exact"/>
        <w:ind w:firstLine="640" w:firstLineChars="200"/>
        <w:rPr>
          <w:rFonts w:hint="eastAsia" w:ascii="仿宋_GB2312" w:eastAsia="仿宋_GB2312"/>
          <w:color w:val="000000"/>
          <w:sz w:val="32"/>
          <w:szCs w:val="32"/>
        </w:rPr>
      </w:pPr>
    </w:p>
    <w:p w14:paraId="4636289D">
      <w:pPr>
        <w:spacing w:line="620" w:lineRule="exact"/>
        <w:ind w:firstLine="640" w:firstLineChars="200"/>
        <w:rPr>
          <w:rFonts w:hint="eastAsia" w:ascii="仿宋_GB2312" w:eastAsia="仿宋_GB2312"/>
          <w:color w:val="000000"/>
          <w:sz w:val="32"/>
          <w:szCs w:val="32"/>
        </w:rPr>
      </w:pPr>
    </w:p>
    <w:p w14:paraId="55323DA4">
      <w:pPr>
        <w:spacing w:line="620" w:lineRule="exact"/>
        <w:ind w:firstLine="640" w:firstLineChars="200"/>
        <w:rPr>
          <w:rFonts w:hint="eastAsia" w:ascii="仿宋_GB2312" w:eastAsia="仿宋_GB2312"/>
          <w:color w:val="000000"/>
          <w:sz w:val="32"/>
          <w:szCs w:val="32"/>
        </w:rPr>
      </w:pPr>
    </w:p>
    <w:p w14:paraId="1DE28EDB">
      <w:pPr>
        <w:spacing w:line="620" w:lineRule="exact"/>
        <w:ind w:firstLine="640" w:firstLineChars="200"/>
        <w:rPr>
          <w:rFonts w:hint="eastAsia" w:ascii="仿宋_GB2312" w:eastAsia="仿宋_GB2312"/>
          <w:color w:val="000000"/>
          <w:sz w:val="32"/>
          <w:szCs w:val="32"/>
        </w:rPr>
      </w:pPr>
    </w:p>
    <w:p w14:paraId="0E6F1609">
      <w:pPr>
        <w:spacing w:line="620" w:lineRule="exact"/>
        <w:ind w:firstLine="640" w:firstLineChars="200"/>
        <w:rPr>
          <w:rFonts w:hint="eastAsia" w:ascii="仿宋_GB2312" w:eastAsia="仿宋_GB2312"/>
          <w:color w:val="000000"/>
          <w:sz w:val="32"/>
          <w:szCs w:val="32"/>
        </w:rPr>
      </w:pPr>
    </w:p>
    <w:p w14:paraId="3C810AE5">
      <w:pPr>
        <w:spacing w:line="620" w:lineRule="exact"/>
        <w:ind w:firstLine="640" w:firstLineChars="200"/>
        <w:rPr>
          <w:rFonts w:hint="eastAsia" w:ascii="仿宋_GB2312" w:eastAsia="仿宋_GB2312"/>
          <w:color w:val="000000"/>
          <w:sz w:val="32"/>
          <w:szCs w:val="32"/>
        </w:rPr>
      </w:pPr>
    </w:p>
    <w:p w14:paraId="17C0F69F">
      <w:pPr>
        <w:spacing w:line="620" w:lineRule="exact"/>
        <w:ind w:firstLine="640" w:firstLineChars="200"/>
        <w:rPr>
          <w:rFonts w:hint="eastAsia" w:ascii="仿宋_GB2312" w:eastAsia="仿宋_GB2312"/>
          <w:color w:val="000000"/>
          <w:sz w:val="32"/>
          <w:szCs w:val="32"/>
        </w:rPr>
      </w:pPr>
    </w:p>
    <w:p w14:paraId="0FCF1AE3">
      <w:pPr>
        <w:spacing w:line="620" w:lineRule="exact"/>
        <w:ind w:firstLine="640" w:firstLineChars="200"/>
        <w:rPr>
          <w:rFonts w:hint="eastAsia" w:ascii="仿宋_GB2312" w:eastAsia="仿宋_GB2312"/>
          <w:color w:val="000000"/>
          <w:sz w:val="32"/>
          <w:szCs w:val="32"/>
        </w:rPr>
      </w:pPr>
    </w:p>
    <w:p w14:paraId="357AA9DC">
      <w:pPr>
        <w:spacing w:line="620" w:lineRule="exact"/>
        <w:ind w:firstLine="640" w:firstLineChars="200"/>
        <w:rPr>
          <w:rFonts w:hint="eastAsia" w:ascii="仿宋_GB2312" w:eastAsia="仿宋_GB2312"/>
          <w:color w:val="000000"/>
          <w:sz w:val="32"/>
          <w:szCs w:val="32"/>
        </w:rPr>
      </w:pPr>
    </w:p>
    <w:p w14:paraId="4696FCCC">
      <w:pPr>
        <w:spacing w:line="620" w:lineRule="exact"/>
        <w:ind w:firstLine="640" w:firstLineChars="200"/>
        <w:rPr>
          <w:rFonts w:hint="eastAsia" w:ascii="仿宋_GB2312" w:eastAsia="仿宋_GB2312"/>
          <w:color w:val="000000"/>
          <w:sz w:val="32"/>
          <w:szCs w:val="32"/>
        </w:rPr>
      </w:pPr>
    </w:p>
    <w:p w14:paraId="0C484D35">
      <w:pPr>
        <w:spacing w:line="620" w:lineRule="exact"/>
        <w:ind w:firstLine="640" w:firstLineChars="200"/>
        <w:rPr>
          <w:rFonts w:hint="eastAsia" w:ascii="仿宋_GB2312" w:eastAsia="仿宋_GB2312"/>
          <w:color w:val="000000"/>
          <w:sz w:val="32"/>
          <w:szCs w:val="32"/>
        </w:rPr>
      </w:pPr>
    </w:p>
    <w:p w14:paraId="2B4EF689">
      <w:pPr>
        <w:spacing w:line="620" w:lineRule="exact"/>
        <w:ind w:firstLine="640" w:firstLineChars="200"/>
        <w:rPr>
          <w:rFonts w:hint="eastAsia" w:ascii="仿宋_GB2312" w:eastAsia="仿宋_GB2312"/>
          <w:color w:val="000000"/>
          <w:sz w:val="32"/>
          <w:szCs w:val="32"/>
        </w:rPr>
      </w:pPr>
    </w:p>
    <w:p w14:paraId="141EF45D">
      <w:pPr>
        <w:spacing w:line="620" w:lineRule="exact"/>
        <w:ind w:firstLine="640" w:firstLineChars="200"/>
        <w:rPr>
          <w:rFonts w:hint="eastAsia" w:ascii="仿宋_GB2312" w:eastAsia="仿宋_GB2312"/>
          <w:color w:val="000000"/>
          <w:sz w:val="32"/>
          <w:szCs w:val="32"/>
        </w:rPr>
      </w:pPr>
    </w:p>
    <w:p w14:paraId="33DF131B">
      <w:pPr>
        <w:spacing w:line="620" w:lineRule="exact"/>
        <w:ind w:firstLine="640" w:firstLineChars="200"/>
        <w:rPr>
          <w:rFonts w:hint="eastAsia" w:ascii="仿宋_GB2312" w:eastAsia="仿宋_GB2312"/>
          <w:color w:val="000000"/>
          <w:sz w:val="32"/>
          <w:szCs w:val="32"/>
        </w:rPr>
      </w:pPr>
    </w:p>
    <w:p w14:paraId="0E775381">
      <w:pPr>
        <w:spacing w:line="620" w:lineRule="exact"/>
        <w:ind w:firstLine="640" w:firstLineChars="200"/>
        <w:rPr>
          <w:rFonts w:hint="eastAsia" w:ascii="仿宋_GB2312" w:eastAsia="仿宋_GB2312"/>
          <w:color w:val="000000"/>
          <w:sz w:val="32"/>
          <w:szCs w:val="32"/>
        </w:rPr>
      </w:pPr>
    </w:p>
    <w:tbl>
      <w:tblPr>
        <w:tblStyle w:val="7"/>
        <w:tblW w:w="9168" w:type="dxa"/>
        <w:jc w:val="center"/>
        <w:tblLayout w:type="fixed"/>
        <w:tblCellMar>
          <w:top w:w="0" w:type="dxa"/>
          <w:left w:w="108" w:type="dxa"/>
          <w:bottom w:w="0" w:type="dxa"/>
          <w:right w:w="108" w:type="dxa"/>
        </w:tblCellMar>
      </w:tblPr>
      <w:tblGrid>
        <w:gridCol w:w="1366"/>
        <w:gridCol w:w="1665"/>
        <w:gridCol w:w="1305"/>
        <w:gridCol w:w="885"/>
        <w:gridCol w:w="975"/>
        <w:gridCol w:w="1500"/>
        <w:gridCol w:w="1472"/>
      </w:tblGrid>
      <w:tr w14:paraId="6C79F11F">
        <w:tblPrEx>
          <w:tblCellMar>
            <w:top w:w="0" w:type="dxa"/>
            <w:left w:w="108" w:type="dxa"/>
            <w:bottom w:w="0" w:type="dxa"/>
            <w:right w:w="108" w:type="dxa"/>
          </w:tblCellMar>
        </w:tblPrEx>
        <w:trPr>
          <w:trHeight w:val="705" w:hRule="atLeast"/>
          <w:jc w:val="center"/>
        </w:trPr>
        <w:tc>
          <w:tcPr>
            <w:tcW w:w="9168" w:type="dxa"/>
            <w:gridSpan w:val="7"/>
            <w:tcBorders>
              <w:top w:val="nil"/>
              <w:left w:val="nil"/>
              <w:bottom w:val="nil"/>
              <w:right w:val="nil"/>
            </w:tcBorders>
            <w:noWrap/>
            <w:vAlign w:val="center"/>
          </w:tcPr>
          <w:p w14:paraId="29A80C0A">
            <w:pPr>
              <w:widowControl/>
              <w:jc w:val="left"/>
              <w:textAlignment w:val="center"/>
              <w:rPr>
                <w:rFonts w:hint="eastAsia" w:ascii="黑体" w:hAnsi="黑体" w:eastAsia="黑体" w:cs="黑体"/>
                <w:color w:val="000000"/>
                <w:kern w:val="0"/>
                <w:sz w:val="28"/>
                <w:szCs w:val="28"/>
                <w:lang w:bidi="ar"/>
              </w:rPr>
            </w:pPr>
          </w:p>
          <w:p w14:paraId="2D249483">
            <w:pPr>
              <w:widowControl/>
              <w:jc w:val="left"/>
              <w:textAlignment w:val="center"/>
              <w:rPr>
                <w:rFonts w:ascii="宋体" w:hAnsi="宋体" w:cs="宋体"/>
                <w:color w:val="000000"/>
                <w:sz w:val="22"/>
              </w:rPr>
            </w:pPr>
            <w:r>
              <w:rPr>
                <w:rFonts w:hint="eastAsia" w:ascii="黑体" w:hAnsi="黑体" w:eastAsia="黑体" w:cs="黑体"/>
                <w:color w:val="000000"/>
                <w:kern w:val="0"/>
                <w:sz w:val="28"/>
                <w:szCs w:val="28"/>
                <w:lang w:bidi="ar"/>
              </w:rPr>
              <w:t>附件</w:t>
            </w:r>
          </w:p>
        </w:tc>
      </w:tr>
      <w:tr w14:paraId="04360FAD">
        <w:tblPrEx>
          <w:tblCellMar>
            <w:top w:w="0" w:type="dxa"/>
            <w:left w:w="108" w:type="dxa"/>
            <w:bottom w:w="0" w:type="dxa"/>
            <w:right w:w="108" w:type="dxa"/>
          </w:tblCellMar>
        </w:tblPrEx>
        <w:trPr>
          <w:trHeight w:val="1050" w:hRule="atLeast"/>
          <w:jc w:val="center"/>
        </w:trPr>
        <w:tc>
          <w:tcPr>
            <w:tcW w:w="9168" w:type="dxa"/>
            <w:gridSpan w:val="7"/>
            <w:tcBorders>
              <w:top w:val="nil"/>
              <w:left w:val="nil"/>
              <w:bottom w:val="nil"/>
              <w:right w:val="nil"/>
            </w:tcBorders>
            <w:noWrap w:val="0"/>
            <w:vAlign w:val="center"/>
          </w:tcPr>
          <w:p w14:paraId="3401930A">
            <w:pPr>
              <w:widowControl/>
              <w:spacing w:line="460" w:lineRule="exact"/>
              <w:jc w:val="center"/>
              <w:textAlignment w:val="center"/>
              <w:rPr>
                <w:rFonts w:hint="eastAsia" w:ascii="方正小标宋简体" w:hAnsi="方正小标宋简体" w:eastAsia="方正小标宋简体" w:cs="宋体"/>
                <w:bCs/>
                <w:color w:val="000000"/>
                <w:sz w:val="32"/>
                <w:szCs w:val="32"/>
              </w:rPr>
            </w:pPr>
            <w:r>
              <w:rPr>
                <w:rFonts w:hint="eastAsia" w:ascii="方正小标宋简体" w:hAnsi="方正小标宋简体" w:eastAsia="方正小标宋简体" w:cs="宋体"/>
                <w:bCs/>
                <w:color w:val="000000"/>
                <w:kern w:val="0"/>
                <w:sz w:val="32"/>
                <w:szCs w:val="32"/>
                <w:lang w:bidi="ar"/>
              </w:rPr>
              <w:t>省级社会组织发展资金支持项目                           受益对象确认书</w:t>
            </w:r>
          </w:p>
        </w:tc>
      </w:tr>
      <w:tr w14:paraId="017627A4">
        <w:tblPrEx>
          <w:tblCellMar>
            <w:top w:w="0" w:type="dxa"/>
            <w:left w:w="108" w:type="dxa"/>
            <w:bottom w:w="0" w:type="dxa"/>
            <w:right w:w="108" w:type="dxa"/>
          </w:tblCellMar>
        </w:tblPrEx>
        <w:trPr>
          <w:trHeight w:val="498" w:hRule="atLeast"/>
          <w:jc w:val="center"/>
        </w:trPr>
        <w:tc>
          <w:tcPr>
            <w:tcW w:w="3031" w:type="dxa"/>
            <w:gridSpan w:val="2"/>
            <w:tcBorders>
              <w:top w:val="nil"/>
              <w:left w:val="nil"/>
              <w:bottom w:val="nil"/>
              <w:right w:val="nil"/>
            </w:tcBorders>
            <w:noWrap w:val="0"/>
            <w:vAlign w:val="center"/>
          </w:tcPr>
          <w:p w14:paraId="7A9C4924">
            <w:pPr>
              <w:widowControl/>
              <w:jc w:val="left"/>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项目执行单位：</w:t>
            </w:r>
          </w:p>
        </w:tc>
        <w:tc>
          <w:tcPr>
            <w:tcW w:w="1305" w:type="dxa"/>
            <w:tcBorders>
              <w:top w:val="nil"/>
              <w:left w:val="nil"/>
              <w:bottom w:val="nil"/>
              <w:right w:val="nil"/>
            </w:tcBorders>
            <w:noWrap/>
            <w:vAlign w:val="center"/>
          </w:tcPr>
          <w:p w14:paraId="0A053DD3">
            <w:pPr>
              <w:rPr>
                <w:rFonts w:hint="eastAsia" w:ascii="宋体" w:hAnsi="宋体" w:cs="宋体"/>
                <w:b/>
                <w:bCs/>
                <w:color w:val="000000"/>
                <w:sz w:val="36"/>
                <w:szCs w:val="36"/>
              </w:rPr>
            </w:pPr>
          </w:p>
        </w:tc>
        <w:tc>
          <w:tcPr>
            <w:tcW w:w="885" w:type="dxa"/>
            <w:tcBorders>
              <w:top w:val="nil"/>
              <w:left w:val="nil"/>
              <w:bottom w:val="nil"/>
              <w:right w:val="nil"/>
            </w:tcBorders>
            <w:noWrap/>
            <w:vAlign w:val="center"/>
          </w:tcPr>
          <w:p w14:paraId="2E79BAAF">
            <w:pPr>
              <w:rPr>
                <w:rFonts w:hint="eastAsia" w:ascii="宋体" w:hAnsi="宋体" w:cs="宋体"/>
                <w:b/>
                <w:bCs/>
                <w:color w:val="000000"/>
                <w:sz w:val="36"/>
                <w:szCs w:val="36"/>
              </w:rPr>
            </w:pPr>
          </w:p>
        </w:tc>
        <w:tc>
          <w:tcPr>
            <w:tcW w:w="975" w:type="dxa"/>
            <w:tcBorders>
              <w:top w:val="nil"/>
              <w:left w:val="nil"/>
              <w:bottom w:val="nil"/>
              <w:right w:val="nil"/>
            </w:tcBorders>
            <w:noWrap/>
            <w:vAlign w:val="center"/>
          </w:tcPr>
          <w:p w14:paraId="4F21880B">
            <w:pPr>
              <w:rPr>
                <w:rFonts w:hint="eastAsia" w:ascii="宋体" w:hAnsi="宋体" w:cs="宋体"/>
                <w:b/>
                <w:bCs/>
                <w:color w:val="000000"/>
                <w:sz w:val="36"/>
                <w:szCs w:val="36"/>
              </w:rPr>
            </w:pPr>
          </w:p>
        </w:tc>
        <w:tc>
          <w:tcPr>
            <w:tcW w:w="2972" w:type="dxa"/>
            <w:gridSpan w:val="2"/>
            <w:tcBorders>
              <w:top w:val="nil"/>
              <w:left w:val="nil"/>
              <w:bottom w:val="single" w:color="000000" w:sz="4" w:space="0"/>
              <w:right w:val="nil"/>
            </w:tcBorders>
            <w:noWrap w:val="0"/>
            <w:vAlign w:val="center"/>
          </w:tcPr>
          <w:p w14:paraId="02284610">
            <w:pPr>
              <w:widowControl/>
              <w:jc w:val="left"/>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确认书编号：</w:t>
            </w:r>
          </w:p>
        </w:tc>
      </w:tr>
      <w:tr w14:paraId="4D9A86DB">
        <w:tblPrEx>
          <w:tblCellMar>
            <w:top w:w="0" w:type="dxa"/>
            <w:left w:w="108" w:type="dxa"/>
            <w:bottom w:w="0" w:type="dxa"/>
            <w:right w:w="108" w:type="dxa"/>
          </w:tblCellMar>
        </w:tblPrEx>
        <w:trPr>
          <w:trHeight w:val="660" w:hRule="atLeast"/>
          <w:jc w:val="center"/>
        </w:trPr>
        <w:tc>
          <w:tcPr>
            <w:tcW w:w="1366" w:type="dxa"/>
            <w:tcBorders>
              <w:top w:val="single" w:color="000000" w:sz="4" w:space="0"/>
              <w:left w:val="single" w:color="000000" w:sz="4" w:space="0"/>
              <w:bottom w:val="single" w:color="000000" w:sz="4" w:space="0"/>
              <w:right w:val="single" w:color="000000" w:sz="4" w:space="0"/>
            </w:tcBorders>
            <w:noWrap w:val="0"/>
            <w:vAlign w:val="center"/>
          </w:tcPr>
          <w:p w14:paraId="65CD0899">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项目名称</w:t>
            </w:r>
          </w:p>
        </w:tc>
        <w:tc>
          <w:tcPr>
            <w:tcW w:w="7802" w:type="dxa"/>
            <w:gridSpan w:val="6"/>
            <w:tcBorders>
              <w:top w:val="single" w:color="000000" w:sz="4" w:space="0"/>
              <w:left w:val="single" w:color="000000" w:sz="4" w:space="0"/>
              <w:bottom w:val="single" w:color="000000" w:sz="4" w:space="0"/>
              <w:right w:val="single" w:color="000000" w:sz="4" w:space="0"/>
            </w:tcBorders>
            <w:noWrap w:val="0"/>
            <w:vAlign w:val="center"/>
          </w:tcPr>
          <w:p w14:paraId="6BA9C2B1">
            <w:pPr>
              <w:jc w:val="center"/>
              <w:rPr>
                <w:rFonts w:hint="eastAsia" w:ascii="宋体" w:hAnsi="宋体" w:cs="宋体"/>
                <w:b/>
                <w:bCs/>
                <w:color w:val="000000"/>
                <w:sz w:val="24"/>
                <w:szCs w:val="24"/>
              </w:rPr>
            </w:pPr>
          </w:p>
        </w:tc>
      </w:tr>
      <w:tr w14:paraId="15B6B74F">
        <w:tblPrEx>
          <w:tblCellMar>
            <w:top w:w="0" w:type="dxa"/>
            <w:left w:w="108" w:type="dxa"/>
            <w:bottom w:w="0" w:type="dxa"/>
            <w:right w:w="108" w:type="dxa"/>
          </w:tblCellMar>
        </w:tblPrEx>
        <w:trPr>
          <w:trHeight w:val="660" w:hRule="atLeast"/>
          <w:jc w:val="center"/>
        </w:trPr>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4D56355">
            <w:pPr>
              <w:widowControl/>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 xml:space="preserve">受益人 </w:t>
            </w:r>
          </w:p>
          <w:p w14:paraId="13615A09">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姓  名</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CAE1B91">
            <w:pPr>
              <w:jc w:val="center"/>
              <w:rPr>
                <w:rFonts w:hint="eastAsia" w:ascii="宋体" w:hAnsi="宋体" w:cs="宋体"/>
                <w:b/>
                <w:bCs/>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AD66424">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年龄</w:t>
            </w:r>
          </w:p>
        </w:tc>
        <w:tc>
          <w:tcPr>
            <w:tcW w:w="1860" w:type="dxa"/>
            <w:gridSpan w:val="2"/>
            <w:tcBorders>
              <w:top w:val="single" w:color="000000" w:sz="4" w:space="0"/>
              <w:left w:val="single" w:color="000000" w:sz="4" w:space="0"/>
              <w:bottom w:val="single" w:color="000000" w:sz="4" w:space="0"/>
              <w:right w:val="single" w:color="000000" w:sz="4" w:space="0"/>
            </w:tcBorders>
            <w:noWrap/>
            <w:vAlign w:val="center"/>
          </w:tcPr>
          <w:p w14:paraId="74CE4352">
            <w:pPr>
              <w:jc w:val="center"/>
              <w:rPr>
                <w:rFonts w:hint="eastAsia" w:ascii="宋体" w:hAnsi="宋体" w:cs="宋体"/>
                <w:b/>
                <w:bCs/>
                <w:color w:val="000000"/>
                <w:sz w:val="22"/>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116B8F7">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性别</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3E98534">
            <w:pPr>
              <w:widowControl/>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 xml:space="preserve">男□  </w:t>
            </w:r>
          </w:p>
          <w:p w14:paraId="4FB15E46">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女□</w:t>
            </w:r>
          </w:p>
        </w:tc>
      </w:tr>
      <w:tr w14:paraId="2777CF69">
        <w:tblPrEx>
          <w:tblCellMar>
            <w:top w:w="0" w:type="dxa"/>
            <w:left w:w="108" w:type="dxa"/>
            <w:bottom w:w="0" w:type="dxa"/>
            <w:right w:w="108" w:type="dxa"/>
          </w:tblCellMar>
        </w:tblPrEx>
        <w:trPr>
          <w:trHeight w:val="930" w:hRule="atLeast"/>
          <w:jc w:val="center"/>
        </w:trPr>
        <w:tc>
          <w:tcPr>
            <w:tcW w:w="1366" w:type="dxa"/>
            <w:tcBorders>
              <w:top w:val="single" w:color="000000" w:sz="4" w:space="0"/>
              <w:left w:val="single" w:color="000000" w:sz="4" w:space="0"/>
              <w:bottom w:val="single" w:color="000000" w:sz="4" w:space="0"/>
              <w:right w:val="single" w:color="000000" w:sz="4" w:space="0"/>
            </w:tcBorders>
            <w:noWrap w:val="0"/>
            <w:vAlign w:val="center"/>
          </w:tcPr>
          <w:p w14:paraId="18F59FB0">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家庭住址</w:t>
            </w:r>
          </w:p>
        </w:tc>
        <w:tc>
          <w:tcPr>
            <w:tcW w:w="4830" w:type="dxa"/>
            <w:gridSpan w:val="4"/>
            <w:tcBorders>
              <w:top w:val="single" w:color="000000" w:sz="4" w:space="0"/>
              <w:left w:val="single" w:color="000000" w:sz="4" w:space="0"/>
              <w:bottom w:val="single" w:color="000000" w:sz="4" w:space="0"/>
              <w:right w:val="single" w:color="000000" w:sz="4" w:space="0"/>
            </w:tcBorders>
            <w:noWrap/>
            <w:vAlign w:val="center"/>
          </w:tcPr>
          <w:p w14:paraId="0091E51C">
            <w:pPr>
              <w:jc w:val="center"/>
              <w:rPr>
                <w:rFonts w:hint="eastAsia" w:ascii="宋体" w:hAnsi="宋体" w:cs="宋体"/>
                <w:b/>
                <w:bCs/>
                <w:color w:val="000000"/>
                <w:sz w:val="22"/>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118F7FF">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身份证号</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39B09E0">
            <w:pPr>
              <w:jc w:val="center"/>
              <w:rPr>
                <w:rFonts w:hint="eastAsia" w:ascii="宋体" w:hAnsi="宋体" w:cs="宋体"/>
                <w:b/>
                <w:bCs/>
                <w:color w:val="000000"/>
                <w:sz w:val="24"/>
                <w:szCs w:val="24"/>
              </w:rPr>
            </w:pPr>
          </w:p>
        </w:tc>
      </w:tr>
      <w:tr w14:paraId="6A9B9E38">
        <w:tblPrEx>
          <w:tblCellMar>
            <w:top w:w="0" w:type="dxa"/>
            <w:left w:w="108" w:type="dxa"/>
            <w:bottom w:w="0" w:type="dxa"/>
            <w:right w:w="108" w:type="dxa"/>
          </w:tblCellMar>
        </w:tblPrEx>
        <w:trPr>
          <w:trHeight w:val="540" w:hRule="atLeast"/>
          <w:jc w:val="center"/>
        </w:trPr>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5B07F9A">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联系方式</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1F85956">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手机</w:t>
            </w:r>
          </w:p>
        </w:tc>
        <w:tc>
          <w:tcPr>
            <w:tcW w:w="3165" w:type="dxa"/>
            <w:gridSpan w:val="3"/>
            <w:tcBorders>
              <w:top w:val="single" w:color="000000" w:sz="4" w:space="0"/>
              <w:left w:val="single" w:color="000000" w:sz="4" w:space="0"/>
              <w:bottom w:val="single" w:color="000000" w:sz="4" w:space="0"/>
              <w:right w:val="single" w:color="000000" w:sz="4" w:space="0"/>
            </w:tcBorders>
            <w:noWrap/>
            <w:vAlign w:val="center"/>
          </w:tcPr>
          <w:p w14:paraId="78005859">
            <w:pPr>
              <w:jc w:val="center"/>
              <w:rPr>
                <w:rFonts w:hint="eastAsia" w:ascii="宋体" w:hAnsi="宋体" w:cs="宋体"/>
                <w:b/>
                <w:bCs/>
                <w:color w:val="000000"/>
                <w:sz w:val="22"/>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2C6631B">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电话</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519BDF82">
            <w:pPr>
              <w:jc w:val="center"/>
              <w:rPr>
                <w:rFonts w:hint="eastAsia" w:ascii="宋体" w:hAnsi="宋体" w:cs="宋体"/>
                <w:b/>
                <w:bCs/>
                <w:color w:val="000000"/>
                <w:sz w:val="22"/>
              </w:rPr>
            </w:pPr>
          </w:p>
        </w:tc>
      </w:tr>
      <w:tr w14:paraId="5C3C2D3A">
        <w:tblPrEx>
          <w:tblCellMar>
            <w:top w:w="0" w:type="dxa"/>
            <w:left w:w="108" w:type="dxa"/>
            <w:bottom w:w="0" w:type="dxa"/>
            <w:right w:w="108" w:type="dxa"/>
          </w:tblCellMar>
        </w:tblPrEx>
        <w:trPr>
          <w:trHeight w:val="435" w:hRule="atLeast"/>
          <w:jc w:val="center"/>
        </w:trPr>
        <w:tc>
          <w:tcPr>
            <w:tcW w:w="1366" w:type="dxa"/>
            <w:vMerge w:val="restart"/>
            <w:tcBorders>
              <w:top w:val="nil"/>
              <w:left w:val="single" w:color="000000" w:sz="4" w:space="0"/>
              <w:bottom w:val="single" w:color="000000" w:sz="4" w:space="0"/>
              <w:right w:val="single" w:color="000000" w:sz="4" w:space="0"/>
            </w:tcBorders>
            <w:noWrap w:val="0"/>
            <w:vAlign w:val="center"/>
          </w:tcPr>
          <w:p w14:paraId="0DCCA0F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受助情况</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2883D6">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实物资产□</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DD04D73">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名称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571D283">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规格</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76C1EE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7BC3F0A">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总金额</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54AF96D">
            <w:pPr>
              <w:rPr>
                <w:rFonts w:hint="eastAsia" w:ascii="宋体" w:hAnsi="宋体" w:cs="宋体"/>
                <w:b/>
                <w:bCs/>
                <w:color w:val="000000"/>
                <w:sz w:val="24"/>
                <w:szCs w:val="24"/>
              </w:rPr>
            </w:pPr>
          </w:p>
        </w:tc>
      </w:tr>
      <w:tr w14:paraId="1E491EC0">
        <w:tblPrEx>
          <w:tblCellMar>
            <w:top w:w="0" w:type="dxa"/>
            <w:left w:w="108" w:type="dxa"/>
            <w:bottom w:w="0" w:type="dxa"/>
            <w:right w:w="108" w:type="dxa"/>
          </w:tblCellMar>
        </w:tblPrEx>
        <w:trPr>
          <w:trHeight w:val="435" w:hRule="atLeast"/>
          <w:jc w:val="center"/>
        </w:trPr>
        <w:tc>
          <w:tcPr>
            <w:tcW w:w="1366" w:type="dxa"/>
            <w:vMerge w:val="continue"/>
            <w:tcBorders>
              <w:top w:val="nil"/>
              <w:left w:val="single" w:color="000000" w:sz="4" w:space="0"/>
              <w:bottom w:val="single" w:color="000000" w:sz="4" w:space="0"/>
              <w:right w:val="single" w:color="000000" w:sz="4" w:space="0"/>
            </w:tcBorders>
            <w:noWrap w:val="0"/>
            <w:vAlign w:val="center"/>
          </w:tcPr>
          <w:p w14:paraId="7E346F77">
            <w:pPr>
              <w:jc w:val="center"/>
              <w:rPr>
                <w:rFonts w:hint="eastAsia" w:ascii="宋体" w:hAnsi="宋体" w:cs="宋体"/>
                <w:b/>
                <w:bCs/>
                <w:color w:val="000000"/>
                <w:sz w:val="24"/>
                <w:szCs w:val="24"/>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7BA8A">
            <w:pPr>
              <w:jc w:val="center"/>
              <w:rPr>
                <w:rFonts w:hint="eastAsia" w:ascii="宋体" w:hAnsi="宋体" w:cs="宋体"/>
                <w:b/>
                <w:bCs/>
                <w:color w:val="000000"/>
                <w:sz w:val="22"/>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4715C48">
            <w:pPr>
              <w:jc w:val="center"/>
              <w:rPr>
                <w:rFonts w:hint="eastAsia" w:ascii="宋体" w:hAnsi="宋体" w:cs="宋体"/>
                <w:b/>
                <w:bCs/>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8B4B23E">
            <w:pPr>
              <w:jc w:val="center"/>
              <w:rPr>
                <w:rFonts w:hint="eastAsia" w:ascii="宋体" w:hAnsi="宋体" w:cs="宋体"/>
                <w:b/>
                <w:bCs/>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0DA066E">
            <w:pPr>
              <w:jc w:val="center"/>
              <w:rPr>
                <w:rFonts w:hint="eastAsia" w:ascii="宋体" w:hAnsi="宋体" w:cs="宋体"/>
                <w:b/>
                <w:bCs/>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D9F1F3C">
            <w:pPr>
              <w:jc w:val="center"/>
              <w:rPr>
                <w:rFonts w:hint="eastAsia" w:ascii="宋体" w:hAnsi="宋体" w:cs="宋体"/>
                <w:b/>
                <w:bCs/>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D36297B">
            <w:pPr>
              <w:rPr>
                <w:rFonts w:hint="eastAsia" w:ascii="宋体" w:hAnsi="宋体" w:cs="宋体"/>
                <w:b/>
                <w:bCs/>
                <w:color w:val="000000"/>
                <w:sz w:val="24"/>
                <w:szCs w:val="24"/>
              </w:rPr>
            </w:pPr>
          </w:p>
        </w:tc>
      </w:tr>
      <w:tr w14:paraId="6E0044EE">
        <w:tblPrEx>
          <w:tblCellMar>
            <w:top w:w="0" w:type="dxa"/>
            <w:left w:w="108" w:type="dxa"/>
            <w:bottom w:w="0" w:type="dxa"/>
            <w:right w:w="108" w:type="dxa"/>
          </w:tblCellMar>
        </w:tblPrEx>
        <w:trPr>
          <w:trHeight w:val="435" w:hRule="atLeast"/>
          <w:jc w:val="center"/>
        </w:trPr>
        <w:tc>
          <w:tcPr>
            <w:tcW w:w="1366" w:type="dxa"/>
            <w:vMerge w:val="continue"/>
            <w:tcBorders>
              <w:top w:val="nil"/>
              <w:left w:val="single" w:color="000000" w:sz="4" w:space="0"/>
              <w:bottom w:val="single" w:color="000000" w:sz="4" w:space="0"/>
              <w:right w:val="single" w:color="000000" w:sz="4" w:space="0"/>
            </w:tcBorders>
            <w:noWrap w:val="0"/>
            <w:vAlign w:val="center"/>
          </w:tcPr>
          <w:p w14:paraId="78E4E322">
            <w:pPr>
              <w:jc w:val="center"/>
              <w:rPr>
                <w:rFonts w:hint="eastAsia" w:ascii="宋体" w:hAnsi="宋体" w:cs="宋体"/>
                <w:b/>
                <w:bCs/>
                <w:color w:val="000000"/>
                <w:sz w:val="24"/>
                <w:szCs w:val="24"/>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295DE">
            <w:pPr>
              <w:jc w:val="center"/>
              <w:rPr>
                <w:rFonts w:hint="eastAsia" w:ascii="宋体" w:hAnsi="宋体" w:cs="宋体"/>
                <w:b/>
                <w:bCs/>
                <w:color w:val="000000"/>
                <w:sz w:val="22"/>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872AE37">
            <w:pPr>
              <w:jc w:val="center"/>
              <w:rPr>
                <w:rFonts w:hint="eastAsia" w:ascii="宋体" w:hAnsi="宋体" w:cs="宋体"/>
                <w:b/>
                <w:bCs/>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ECF6CCB">
            <w:pPr>
              <w:jc w:val="center"/>
              <w:rPr>
                <w:rFonts w:hint="eastAsia" w:ascii="宋体" w:hAnsi="宋体" w:cs="宋体"/>
                <w:b/>
                <w:bCs/>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6F0ADEB">
            <w:pPr>
              <w:jc w:val="center"/>
              <w:rPr>
                <w:rFonts w:hint="eastAsia" w:ascii="宋体" w:hAnsi="宋体" w:cs="宋体"/>
                <w:b/>
                <w:bCs/>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674AC08">
            <w:pPr>
              <w:jc w:val="center"/>
              <w:rPr>
                <w:rFonts w:hint="eastAsia" w:ascii="宋体" w:hAnsi="宋体" w:cs="宋体"/>
                <w:b/>
                <w:bCs/>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CE13AF5">
            <w:pPr>
              <w:rPr>
                <w:rFonts w:hint="eastAsia" w:ascii="宋体" w:hAnsi="宋体" w:cs="宋体"/>
                <w:b/>
                <w:bCs/>
                <w:color w:val="000000"/>
                <w:sz w:val="24"/>
                <w:szCs w:val="24"/>
              </w:rPr>
            </w:pPr>
          </w:p>
        </w:tc>
      </w:tr>
      <w:tr w14:paraId="1687C47C">
        <w:tblPrEx>
          <w:tblCellMar>
            <w:top w:w="0" w:type="dxa"/>
            <w:left w:w="108" w:type="dxa"/>
            <w:bottom w:w="0" w:type="dxa"/>
            <w:right w:w="108" w:type="dxa"/>
          </w:tblCellMar>
        </w:tblPrEx>
        <w:trPr>
          <w:trHeight w:val="435" w:hRule="atLeast"/>
          <w:jc w:val="center"/>
        </w:trPr>
        <w:tc>
          <w:tcPr>
            <w:tcW w:w="1366" w:type="dxa"/>
            <w:vMerge w:val="continue"/>
            <w:tcBorders>
              <w:top w:val="nil"/>
              <w:left w:val="single" w:color="000000" w:sz="4" w:space="0"/>
              <w:bottom w:val="single" w:color="000000" w:sz="4" w:space="0"/>
              <w:right w:val="single" w:color="000000" w:sz="4" w:space="0"/>
            </w:tcBorders>
            <w:noWrap w:val="0"/>
            <w:vAlign w:val="center"/>
          </w:tcPr>
          <w:p w14:paraId="57AF2119">
            <w:pPr>
              <w:jc w:val="center"/>
              <w:rPr>
                <w:rFonts w:hint="eastAsia" w:ascii="宋体" w:hAnsi="宋体" w:cs="宋体"/>
                <w:b/>
                <w:bCs/>
                <w:color w:val="000000"/>
                <w:sz w:val="24"/>
                <w:szCs w:val="24"/>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ABB5D">
            <w:pPr>
              <w:jc w:val="center"/>
              <w:rPr>
                <w:rFonts w:hint="eastAsia" w:ascii="宋体" w:hAnsi="宋体" w:cs="宋体"/>
                <w:b/>
                <w:bCs/>
                <w:color w:val="000000"/>
                <w:sz w:val="22"/>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0BF8A28">
            <w:pPr>
              <w:jc w:val="center"/>
              <w:rPr>
                <w:rFonts w:hint="eastAsia" w:ascii="宋体" w:hAnsi="宋体" w:cs="宋体"/>
                <w:b/>
                <w:bCs/>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3678809">
            <w:pPr>
              <w:jc w:val="center"/>
              <w:rPr>
                <w:rFonts w:hint="eastAsia" w:ascii="宋体" w:hAnsi="宋体" w:cs="宋体"/>
                <w:b/>
                <w:bCs/>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DA0A25A">
            <w:pPr>
              <w:jc w:val="center"/>
              <w:rPr>
                <w:rFonts w:hint="eastAsia" w:ascii="宋体" w:hAnsi="宋体" w:cs="宋体"/>
                <w:b/>
                <w:bCs/>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5C95849">
            <w:pPr>
              <w:jc w:val="center"/>
              <w:rPr>
                <w:rFonts w:hint="eastAsia" w:ascii="宋体" w:hAnsi="宋体" w:cs="宋体"/>
                <w:b/>
                <w:bCs/>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D28F5DF">
            <w:pPr>
              <w:rPr>
                <w:rFonts w:hint="eastAsia" w:ascii="宋体" w:hAnsi="宋体" w:cs="宋体"/>
                <w:b/>
                <w:bCs/>
                <w:color w:val="000000"/>
                <w:sz w:val="24"/>
                <w:szCs w:val="24"/>
              </w:rPr>
            </w:pPr>
          </w:p>
        </w:tc>
      </w:tr>
      <w:tr w14:paraId="064D331A">
        <w:tblPrEx>
          <w:tblCellMar>
            <w:top w:w="0" w:type="dxa"/>
            <w:left w:w="108" w:type="dxa"/>
            <w:bottom w:w="0" w:type="dxa"/>
            <w:right w:w="108" w:type="dxa"/>
          </w:tblCellMar>
        </w:tblPrEx>
        <w:trPr>
          <w:trHeight w:val="435" w:hRule="atLeast"/>
          <w:jc w:val="center"/>
        </w:trPr>
        <w:tc>
          <w:tcPr>
            <w:tcW w:w="1366" w:type="dxa"/>
            <w:vMerge w:val="continue"/>
            <w:tcBorders>
              <w:top w:val="nil"/>
              <w:left w:val="single" w:color="000000" w:sz="4" w:space="0"/>
              <w:bottom w:val="single" w:color="000000" w:sz="4" w:space="0"/>
              <w:right w:val="single" w:color="000000" w:sz="4" w:space="0"/>
            </w:tcBorders>
            <w:noWrap w:val="0"/>
            <w:vAlign w:val="center"/>
          </w:tcPr>
          <w:p w14:paraId="1DCF6C27">
            <w:pPr>
              <w:jc w:val="center"/>
              <w:rPr>
                <w:rFonts w:hint="eastAsia" w:ascii="宋体" w:hAnsi="宋体" w:cs="宋体"/>
                <w:b/>
                <w:bCs/>
                <w:color w:val="000000"/>
                <w:sz w:val="24"/>
                <w:szCs w:val="24"/>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DCAA5">
            <w:pPr>
              <w:jc w:val="center"/>
              <w:rPr>
                <w:rFonts w:hint="eastAsia" w:ascii="宋体" w:hAnsi="宋体" w:cs="宋体"/>
                <w:b/>
                <w:bCs/>
                <w:color w:val="000000"/>
                <w:sz w:val="22"/>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4BA4EF2">
            <w:pPr>
              <w:jc w:val="center"/>
              <w:rPr>
                <w:rFonts w:hint="eastAsia" w:ascii="宋体" w:hAnsi="宋体" w:cs="宋体"/>
                <w:b/>
                <w:bCs/>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C627656">
            <w:pPr>
              <w:jc w:val="center"/>
              <w:rPr>
                <w:rFonts w:hint="eastAsia" w:ascii="宋体" w:hAnsi="宋体" w:cs="宋体"/>
                <w:b/>
                <w:bCs/>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1D19090">
            <w:pPr>
              <w:jc w:val="center"/>
              <w:rPr>
                <w:rFonts w:hint="eastAsia" w:ascii="宋体" w:hAnsi="宋体" w:cs="宋体"/>
                <w:b/>
                <w:bCs/>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3247606">
            <w:pPr>
              <w:jc w:val="center"/>
              <w:rPr>
                <w:rFonts w:hint="eastAsia" w:ascii="宋体" w:hAnsi="宋体" w:cs="宋体"/>
                <w:b/>
                <w:bCs/>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535A76D">
            <w:pPr>
              <w:rPr>
                <w:rFonts w:hint="eastAsia" w:ascii="宋体" w:hAnsi="宋体" w:cs="宋体"/>
                <w:b/>
                <w:bCs/>
                <w:color w:val="000000"/>
                <w:sz w:val="24"/>
                <w:szCs w:val="24"/>
              </w:rPr>
            </w:pPr>
          </w:p>
        </w:tc>
      </w:tr>
      <w:tr w14:paraId="29F1BDEC">
        <w:tblPrEx>
          <w:tblCellMar>
            <w:top w:w="0" w:type="dxa"/>
            <w:left w:w="108" w:type="dxa"/>
            <w:bottom w:w="0" w:type="dxa"/>
            <w:right w:w="108" w:type="dxa"/>
          </w:tblCellMar>
        </w:tblPrEx>
        <w:trPr>
          <w:trHeight w:val="435" w:hRule="atLeast"/>
          <w:jc w:val="center"/>
        </w:trPr>
        <w:tc>
          <w:tcPr>
            <w:tcW w:w="1366" w:type="dxa"/>
            <w:vMerge w:val="continue"/>
            <w:tcBorders>
              <w:top w:val="nil"/>
              <w:left w:val="single" w:color="000000" w:sz="4" w:space="0"/>
              <w:bottom w:val="single" w:color="000000" w:sz="4" w:space="0"/>
              <w:right w:val="single" w:color="000000" w:sz="4" w:space="0"/>
            </w:tcBorders>
            <w:noWrap w:val="0"/>
            <w:vAlign w:val="center"/>
          </w:tcPr>
          <w:p w14:paraId="1534D755">
            <w:pPr>
              <w:jc w:val="center"/>
              <w:rPr>
                <w:rFonts w:hint="eastAsia" w:ascii="宋体" w:hAnsi="宋体" w:cs="宋体"/>
                <w:b/>
                <w:bCs/>
                <w:color w:val="000000"/>
                <w:sz w:val="24"/>
                <w:szCs w:val="24"/>
              </w:rPr>
            </w:pP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2F6C7">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劳务或服务□</w:t>
            </w:r>
          </w:p>
        </w:tc>
        <w:tc>
          <w:tcPr>
            <w:tcW w:w="3165" w:type="dxa"/>
            <w:gridSpan w:val="3"/>
            <w:tcBorders>
              <w:top w:val="single" w:color="000000" w:sz="4" w:space="0"/>
              <w:left w:val="single" w:color="000000" w:sz="4" w:space="0"/>
              <w:bottom w:val="single" w:color="000000" w:sz="4" w:space="0"/>
              <w:right w:val="single" w:color="000000" w:sz="4" w:space="0"/>
            </w:tcBorders>
            <w:noWrap w:val="0"/>
            <w:vAlign w:val="center"/>
          </w:tcPr>
          <w:p w14:paraId="31087E0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服务内容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6744E53">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次数</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0389906">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服务时间</w:t>
            </w:r>
          </w:p>
        </w:tc>
      </w:tr>
      <w:tr w14:paraId="2F672D51">
        <w:tblPrEx>
          <w:tblCellMar>
            <w:top w:w="0" w:type="dxa"/>
            <w:left w:w="108" w:type="dxa"/>
            <w:bottom w:w="0" w:type="dxa"/>
            <w:right w:w="108" w:type="dxa"/>
          </w:tblCellMar>
        </w:tblPrEx>
        <w:trPr>
          <w:trHeight w:val="435" w:hRule="atLeast"/>
          <w:jc w:val="center"/>
        </w:trPr>
        <w:tc>
          <w:tcPr>
            <w:tcW w:w="1366" w:type="dxa"/>
            <w:vMerge w:val="continue"/>
            <w:tcBorders>
              <w:top w:val="nil"/>
              <w:left w:val="single" w:color="000000" w:sz="4" w:space="0"/>
              <w:bottom w:val="single" w:color="000000" w:sz="4" w:space="0"/>
              <w:right w:val="single" w:color="000000" w:sz="4" w:space="0"/>
            </w:tcBorders>
            <w:noWrap w:val="0"/>
            <w:vAlign w:val="center"/>
          </w:tcPr>
          <w:p w14:paraId="785CF91F">
            <w:pPr>
              <w:jc w:val="center"/>
              <w:rPr>
                <w:rFonts w:hint="eastAsia" w:ascii="宋体" w:hAnsi="宋体" w:cs="宋体"/>
                <w:b/>
                <w:bCs/>
                <w:color w:val="000000"/>
                <w:sz w:val="24"/>
                <w:szCs w:val="24"/>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8B46D">
            <w:pPr>
              <w:jc w:val="center"/>
              <w:rPr>
                <w:rFonts w:hint="eastAsia" w:ascii="宋体" w:hAnsi="宋体" w:cs="宋体"/>
                <w:b/>
                <w:bCs/>
                <w:color w:val="000000"/>
                <w:sz w:val="24"/>
                <w:szCs w:val="24"/>
              </w:rPr>
            </w:pPr>
          </w:p>
        </w:tc>
        <w:tc>
          <w:tcPr>
            <w:tcW w:w="1305" w:type="dxa"/>
            <w:tcBorders>
              <w:top w:val="single" w:color="000000" w:sz="4" w:space="0"/>
              <w:left w:val="single" w:color="000000" w:sz="4" w:space="0"/>
              <w:bottom w:val="single" w:color="000000" w:sz="4" w:space="0"/>
              <w:right w:val="nil"/>
            </w:tcBorders>
            <w:noWrap w:val="0"/>
            <w:vAlign w:val="center"/>
          </w:tcPr>
          <w:p w14:paraId="242D8330">
            <w:pPr>
              <w:jc w:val="center"/>
              <w:rPr>
                <w:rFonts w:hint="eastAsia" w:ascii="宋体" w:hAnsi="宋体" w:cs="宋体"/>
                <w:b/>
                <w:bCs/>
                <w:color w:val="000000"/>
                <w:sz w:val="24"/>
                <w:szCs w:val="24"/>
              </w:rPr>
            </w:pPr>
          </w:p>
        </w:tc>
        <w:tc>
          <w:tcPr>
            <w:tcW w:w="885" w:type="dxa"/>
            <w:tcBorders>
              <w:top w:val="single" w:color="000000" w:sz="4" w:space="0"/>
              <w:left w:val="nil"/>
              <w:bottom w:val="single" w:color="000000" w:sz="4" w:space="0"/>
              <w:right w:val="nil"/>
            </w:tcBorders>
            <w:noWrap w:val="0"/>
            <w:vAlign w:val="center"/>
          </w:tcPr>
          <w:p w14:paraId="44DC9832">
            <w:pPr>
              <w:jc w:val="center"/>
              <w:rPr>
                <w:rFonts w:hint="eastAsia" w:ascii="宋体" w:hAnsi="宋体" w:cs="宋体"/>
                <w:b/>
                <w:bCs/>
                <w:color w:val="000000"/>
                <w:sz w:val="24"/>
                <w:szCs w:val="24"/>
              </w:rPr>
            </w:pPr>
          </w:p>
        </w:tc>
        <w:tc>
          <w:tcPr>
            <w:tcW w:w="975" w:type="dxa"/>
            <w:tcBorders>
              <w:top w:val="single" w:color="000000" w:sz="4" w:space="0"/>
              <w:left w:val="nil"/>
              <w:bottom w:val="single" w:color="000000" w:sz="4" w:space="0"/>
              <w:right w:val="single" w:color="000000" w:sz="4" w:space="0"/>
            </w:tcBorders>
            <w:noWrap w:val="0"/>
            <w:vAlign w:val="center"/>
          </w:tcPr>
          <w:p w14:paraId="0C61254D">
            <w:pPr>
              <w:jc w:val="center"/>
              <w:rPr>
                <w:rFonts w:hint="eastAsia" w:ascii="宋体" w:hAnsi="宋体" w:cs="宋体"/>
                <w:b/>
                <w:bCs/>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D28807F">
            <w:pPr>
              <w:jc w:val="center"/>
              <w:rPr>
                <w:rFonts w:hint="eastAsia" w:ascii="宋体" w:hAnsi="宋体" w:cs="宋体"/>
                <w:b/>
                <w:bCs/>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F1EE651">
            <w:pPr>
              <w:rPr>
                <w:rFonts w:hint="eastAsia" w:ascii="宋体" w:hAnsi="宋体" w:cs="宋体"/>
                <w:b/>
                <w:bCs/>
                <w:color w:val="000000"/>
                <w:sz w:val="24"/>
                <w:szCs w:val="24"/>
              </w:rPr>
            </w:pPr>
          </w:p>
        </w:tc>
      </w:tr>
      <w:tr w14:paraId="7410F813">
        <w:tblPrEx>
          <w:tblCellMar>
            <w:top w:w="0" w:type="dxa"/>
            <w:left w:w="108" w:type="dxa"/>
            <w:bottom w:w="0" w:type="dxa"/>
            <w:right w:w="108" w:type="dxa"/>
          </w:tblCellMar>
        </w:tblPrEx>
        <w:trPr>
          <w:trHeight w:val="435" w:hRule="atLeast"/>
          <w:jc w:val="center"/>
        </w:trPr>
        <w:tc>
          <w:tcPr>
            <w:tcW w:w="1366" w:type="dxa"/>
            <w:vMerge w:val="continue"/>
            <w:tcBorders>
              <w:top w:val="nil"/>
              <w:left w:val="single" w:color="000000" w:sz="4" w:space="0"/>
              <w:bottom w:val="single" w:color="000000" w:sz="4" w:space="0"/>
              <w:right w:val="single" w:color="000000" w:sz="4" w:space="0"/>
            </w:tcBorders>
            <w:noWrap w:val="0"/>
            <w:vAlign w:val="center"/>
          </w:tcPr>
          <w:p w14:paraId="311B9DE2">
            <w:pPr>
              <w:jc w:val="center"/>
              <w:rPr>
                <w:rFonts w:hint="eastAsia" w:ascii="宋体" w:hAnsi="宋体" w:cs="宋体"/>
                <w:b/>
                <w:bCs/>
                <w:color w:val="000000"/>
                <w:sz w:val="24"/>
                <w:szCs w:val="24"/>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55286">
            <w:pPr>
              <w:jc w:val="center"/>
              <w:rPr>
                <w:rFonts w:hint="eastAsia" w:ascii="宋体" w:hAnsi="宋体" w:cs="宋体"/>
                <w:b/>
                <w:bCs/>
                <w:color w:val="000000"/>
                <w:sz w:val="24"/>
                <w:szCs w:val="24"/>
              </w:rPr>
            </w:pPr>
          </w:p>
        </w:tc>
        <w:tc>
          <w:tcPr>
            <w:tcW w:w="1305" w:type="dxa"/>
            <w:tcBorders>
              <w:top w:val="single" w:color="000000" w:sz="4" w:space="0"/>
              <w:left w:val="single" w:color="000000" w:sz="4" w:space="0"/>
              <w:bottom w:val="single" w:color="000000" w:sz="4" w:space="0"/>
              <w:right w:val="nil"/>
            </w:tcBorders>
            <w:noWrap w:val="0"/>
            <w:vAlign w:val="center"/>
          </w:tcPr>
          <w:p w14:paraId="300DBB12">
            <w:pPr>
              <w:jc w:val="center"/>
              <w:rPr>
                <w:rFonts w:hint="eastAsia" w:ascii="宋体" w:hAnsi="宋体" w:cs="宋体"/>
                <w:b/>
                <w:bCs/>
                <w:color w:val="000000"/>
                <w:sz w:val="24"/>
                <w:szCs w:val="24"/>
              </w:rPr>
            </w:pPr>
          </w:p>
        </w:tc>
        <w:tc>
          <w:tcPr>
            <w:tcW w:w="885" w:type="dxa"/>
            <w:tcBorders>
              <w:top w:val="single" w:color="000000" w:sz="4" w:space="0"/>
              <w:left w:val="nil"/>
              <w:bottom w:val="single" w:color="000000" w:sz="4" w:space="0"/>
              <w:right w:val="nil"/>
            </w:tcBorders>
            <w:noWrap w:val="0"/>
            <w:vAlign w:val="center"/>
          </w:tcPr>
          <w:p w14:paraId="384C0221">
            <w:pPr>
              <w:jc w:val="center"/>
              <w:rPr>
                <w:rFonts w:hint="eastAsia" w:ascii="宋体" w:hAnsi="宋体" w:cs="宋体"/>
                <w:b/>
                <w:bCs/>
                <w:color w:val="000000"/>
                <w:sz w:val="24"/>
                <w:szCs w:val="24"/>
              </w:rPr>
            </w:pPr>
          </w:p>
        </w:tc>
        <w:tc>
          <w:tcPr>
            <w:tcW w:w="975" w:type="dxa"/>
            <w:tcBorders>
              <w:top w:val="single" w:color="000000" w:sz="4" w:space="0"/>
              <w:left w:val="nil"/>
              <w:bottom w:val="single" w:color="000000" w:sz="4" w:space="0"/>
              <w:right w:val="single" w:color="000000" w:sz="4" w:space="0"/>
            </w:tcBorders>
            <w:noWrap w:val="0"/>
            <w:vAlign w:val="center"/>
          </w:tcPr>
          <w:p w14:paraId="5AA12896">
            <w:pPr>
              <w:jc w:val="center"/>
              <w:rPr>
                <w:rFonts w:hint="eastAsia" w:ascii="宋体" w:hAnsi="宋体" w:cs="宋体"/>
                <w:b/>
                <w:bCs/>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F812F63">
            <w:pPr>
              <w:jc w:val="center"/>
              <w:rPr>
                <w:rFonts w:hint="eastAsia" w:ascii="宋体" w:hAnsi="宋体" w:cs="宋体"/>
                <w:b/>
                <w:bCs/>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3EFB00C">
            <w:pPr>
              <w:rPr>
                <w:rFonts w:hint="eastAsia" w:ascii="宋体" w:hAnsi="宋体" w:cs="宋体"/>
                <w:b/>
                <w:bCs/>
                <w:color w:val="000000"/>
                <w:sz w:val="24"/>
                <w:szCs w:val="24"/>
              </w:rPr>
            </w:pPr>
          </w:p>
        </w:tc>
      </w:tr>
      <w:tr w14:paraId="25CC2A30">
        <w:tblPrEx>
          <w:tblCellMar>
            <w:top w:w="0" w:type="dxa"/>
            <w:left w:w="108" w:type="dxa"/>
            <w:bottom w:w="0" w:type="dxa"/>
            <w:right w:w="108" w:type="dxa"/>
          </w:tblCellMar>
        </w:tblPrEx>
        <w:trPr>
          <w:trHeight w:val="435" w:hRule="atLeast"/>
          <w:jc w:val="center"/>
        </w:trPr>
        <w:tc>
          <w:tcPr>
            <w:tcW w:w="1366" w:type="dxa"/>
            <w:vMerge w:val="continue"/>
            <w:tcBorders>
              <w:top w:val="nil"/>
              <w:left w:val="single" w:color="000000" w:sz="4" w:space="0"/>
              <w:bottom w:val="single" w:color="000000" w:sz="4" w:space="0"/>
              <w:right w:val="single" w:color="000000" w:sz="4" w:space="0"/>
            </w:tcBorders>
            <w:noWrap w:val="0"/>
            <w:vAlign w:val="center"/>
          </w:tcPr>
          <w:p w14:paraId="7A0A3090">
            <w:pPr>
              <w:jc w:val="center"/>
              <w:rPr>
                <w:rFonts w:hint="eastAsia" w:ascii="宋体" w:hAnsi="宋体" w:cs="宋体"/>
                <w:b/>
                <w:bCs/>
                <w:color w:val="000000"/>
                <w:sz w:val="24"/>
                <w:szCs w:val="24"/>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B9133">
            <w:pPr>
              <w:jc w:val="center"/>
              <w:rPr>
                <w:rFonts w:hint="eastAsia" w:ascii="宋体" w:hAnsi="宋体" w:cs="宋体"/>
                <w:b/>
                <w:bCs/>
                <w:color w:val="000000"/>
                <w:sz w:val="24"/>
                <w:szCs w:val="24"/>
              </w:rPr>
            </w:pPr>
          </w:p>
        </w:tc>
        <w:tc>
          <w:tcPr>
            <w:tcW w:w="1305" w:type="dxa"/>
            <w:tcBorders>
              <w:top w:val="single" w:color="000000" w:sz="4" w:space="0"/>
              <w:left w:val="single" w:color="000000" w:sz="4" w:space="0"/>
              <w:bottom w:val="single" w:color="000000" w:sz="4" w:space="0"/>
              <w:right w:val="nil"/>
            </w:tcBorders>
            <w:noWrap w:val="0"/>
            <w:vAlign w:val="center"/>
          </w:tcPr>
          <w:p w14:paraId="4A415146">
            <w:pPr>
              <w:jc w:val="center"/>
              <w:rPr>
                <w:rFonts w:hint="eastAsia" w:ascii="宋体" w:hAnsi="宋体" w:cs="宋体"/>
                <w:b/>
                <w:bCs/>
                <w:color w:val="000000"/>
                <w:sz w:val="24"/>
                <w:szCs w:val="24"/>
              </w:rPr>
            </w:pPr>
          </w:p>
        </w:tc>
        <w:tc>
          <w:tcPr>
            <w:tcW w:w="885" w:type="dxa"/>
            <w:tcBorders>
              <w:top w:val="single" w:color="000000" w:sz="4" w:space="0"/>
              <w:left w:val="nil"/>
              <w:bottom w:val="single" w:color="000000" w:sz="4" w:space="0"/>
              <w:right w:val="nil"/>
            </w:tcBorders>
            <w:noWrap w:val="0"/>
            <w:vAlign w:val="center"/>
          </w:tcPr>
          <w:p w14:paraId="0A80986D">
            <w:pPr>
              <w:jc w:val="center"/>
              <w:rPr>
                <w:rFonts w:hint="eastAsia" w:ascii="宋体" w:hAnsi="宋体" w:cs="宋体"/>
                <w:b/>
                <w:bCs/>
                <w:color w:val="000000"/>
                <w:sz w:val="24"/>
                <w:szCs w:val="24"/>
              </w:rPr>
            </w:pPr>
          </w:p>
        </w:tc>
        <w:tc>
          <w:tcPr>
            <w:tcW w:w="975" w:type="dxa"/>
            <w:tcBorders>
              <w:top w:val="single" w:color="000000" w:sz="4" w:space="0"/>
              <w:left w:val="nil"/>
              <w:bottom w:val="single" w:color="000000" w:sz="4" w:space="0"/>
              <w:right w:val="single" w:color="000000" w:sz="4" w:space="0"/>
            </w:tcBorders>
            <w:noWrap w:val="0"/>
            <w:vAlign w:val="center"/>
          </w:tcPr>
          <w:p w14:paraId="442614BF">
            <w:pPr>
              <w:jc w:val="center"/>
              <w:rPr>
                <w:rFonts w:hint="eastAsia" w:ascii="宋体" w:hAnsi="宋体" w:cs="宋体"/>
                <w:b/>
                <w:bCs/>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F65175D">
            <w:pPr>
              <w:jc w:val="center"/>
              <w:rPr>
                <w:rFonts w:hint="eastAsia" w:ascii="宋体" w:hAnsi="宋体" w:cs="宋体"/>
                <w:b/>
                <w:bCs/>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040CCD3">
            <w:pPr>
              <w:rPr>
                <w:rFonts w:hint="eastAsia" w:ascii="宋体" w:hAnsi="宋体" w:cs="宋体"/>
                <w:b/>
                <w:bCs/>
                <w:color w:val="000000"/>
                <w:sz w:val="24"/>
                <w:szCs w:val="24"/>
              </w:rPr>
            </w:pPr>
          </w:p>
        </w:tc>
      </w:tr>
      <w:tr w14:paraId="6DDF3407">
        <w:tblPrEx>
          <w:tblCellMar>
            <w:top w:w="0" w:type="dxa"/>
            <w:left w:w="108" w:type="dxa"/>
            <w:bottom w:w="0" w:type="dxa"/>
            <w:right w:w="108" w:type="dxa"/>
          </w:tblCellMar>
        </w:tblPrEx>
        <w:trPr>
          <w:trHeight w:val="435" w:hRule="atLeast"/>
          <w:jc w:val="center"/>
        </w:trPr>
        <w:tc>
          <w:tcPr>
            <w:tcW w:w="1366" w:type="dxa"/>
            <w:vMerge w:val="continue"/>
            <w:tcBorders>
              <w:top w:val="nil"/>
              <w:left w:val="single" w:color="000000" w:sz="4" w:space="0"/>
              <w:bottom w:val="single" w:color="000000" w:sz="4" w:space="0"/>
              <w:right w:val="single" w:color="000000" w:sz="4" w:space="0"/>
            </w:tcBorders>
            <w:noWrap w:val="0"/>
            <w:vAlign w:val="center"/>
          </w:tcPr>
          <w:p w14:paraId="0DA6620B">
            <w:pPr>
              <w:jc w:val="center"/>
              <w:rPr>
                <w:rFonts w:hint="eastAsia" w:ascii="宋体" w:hAnsi="宋体" w:cs="宋体"/>
                <w:b/>
                <w:bCs/>
                <w:color w:val="000000"/>
                <w:sz w:val="24"/>
                <w:szCs w:val="24"/>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A5CC9">
            <w:pPr>
              <w:jc w:val="center"/>
              <w:rPr>
                <w:rFonts w:hint="eastAsia" w:ascii="宋体" w:hAnsi="宋体" w:cs="宋体"/>
                <w:b/>
                <w:bCs/>
                <w:color w:val="000000"/>
                <w:sz w:val="24"/>
                <w:szCs w:val="24"/>
              </w:rPr>
            </w:pPr>
          </w:p>
        </w:tc>
        <w:tc>
          <w:tcPr>
            <w:tcW w:w="1305" w:type="dxa"/>
            <w:tcBorders>
              <w:top w:val="single" w:color="000000" w:sz="4" w:space="0"/>
              <w:left w:val="single" w:color="000000" w:sz="4" w:space="0"/>
              <w:bottom w:val="single" w:color="000000" w:sz="4" w:space="0"/>
              <w:right w:val="nil"/>
            </w:tcBorders>
            <w:noWrap w:val="0"/>
            <w:vAlign w:val="center"/>
          </w:tcPr>
          <w:p w14:paraId="304F5841">
            <w:pPr>
              <w:jc w:val="center"/>
              <w:rPr>
                <w:rFonts w:hint="eastAsia" w:ascii="宋体" w:hAnsi="宋体" w:cs="宋体"/>
                <w:b/>
                <w:bCs/>
                <w:color w:val="000000"/>
                <w:sz w:val="24"/>
                <w:szCs w:val="24"/>
              </w:rPr>
            </w:pPr>
          </w:p>
        </w:tc>
        <w:tc>
          <w:tcPr>
            <w:tcW w:w="885" w:type="dxa"/>
            <w:tcBorders>
              <w:top w:val="single" w:color="000000" w:sz="4" w:space="0"/>
              <w:left w:val="nil"/>
              <w:bottom w:val="single" w:color="000000" w:sz="4" w:space="0"/>
              <w:right w:val="nil"/>
            </w:tcBorders>
            <w:noWrap w:val="0"/>
            <w:vAlign w:val="center"/>
          </w:tcPr>
          <w:p w14:paraId="47930758">
            <w:pPr>
              <w:jc w:val="center"/>
              <w:rPr>
                <w:rFonts w:hint="eastAsia" w:ascii="宋体" w:hAnsi="宋体" w:cs="宋体"/>
                <w:b/>
                <w:bCs/>
                <w:color w:val="000000"/>
                <w:sz w:val="24"/>
                <w:szCs w:val="24"/>
              </w:rPr>
            </w:pPr>
          </w:p>
        </w:tc>
        <w:tc>
          <w:tcPr>
            <w:tcW w:w="975" w:type="dxa"/>
            <w:tcBorders>
              <w:top w:val="single" w:color="000000" w:sz="4" w:space="0"/>
              <w:left w:val="nil"/>
              <w:bottom w:val="single" w:color="000000" w:sz="4" w:space="0"/>
              <w:right w:val="single" w:color="000000" w:sz="4" w:space="0"/>
            </w:tcBorders>
            <w:noWrap w:val="0"/>
            <w:vAlign w:val="center"/>
          </w:tcPr>
          <w:p w14:paraId="09471611">
            <w:pPr>
              <w:jc w:val="center"/>
              <w:rPr>
                <w:rFonts w:hint="eastAsia" w:ascii="宋体" w:hAnsi="宋体" w:cs="宋体"/>
                <w:b/>
                <w:bCs/>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6D7720C">
            <w:pPr>
              <w:jc w:val="center"/>
              <w:rPr>
                <w:rFonts w:hint="eastAsia" w:ascii="宋体" w:hAnsi="宋体" w:cs="宋体"/>
                <w:b/>
                <w:bCs/>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9D115DC">
            <w:pPr>
              <w:rPr>
                <w:rFonts w:hint="eastAsia" w:ascii="宋体" w:hAnsi="宋体" w:cs="宋体"/>
                <w:b/>
                <w:bCs/>
                <w:color w:val="000000"/>
                <w:sz w:val="24"/>
                <w:szCs w:val="24"/>
              </w:rPr>
            </w:pPr>
          </w:p>
        </w:tc>
      </w:tr>
      <w:tr w14:paraId="140CE420">
        <w:tblPrEx>
          <w:tblCellMar>
            <w:top w:w="0" w:type="dxa"/>
            <w:left w:w="108" w:type="dxa"/>
            <w:bottom w:w="0" w:type="dxa"/>
            <w:right w:w="108" w:type="dxa"/>
          </w:tblCellMar>
        </w:tblPrEx>
        <w:trPr>
          <w:trHeight w:val="405" w:hRule="atLeast"/>
          <w:jc w:val="center"/>
        </w:trPr>
        <w:tc>
          <w:tcPr>
            <w:tcW w:w="1366" w:type="dxa"/>
            <w:vMerge w:val="continue"/>
            <w:tcBorders>
              <w:top w:val="nil"/>
              <w:left w:val="single" w:color="000000" w:sz="4" w:space="0"/>
              <w:bottom w:val="single" w:color="000000" w:sz="4" w:space="0"/>
              <w:right w:val="single" w:color="000000" w:sz="4" w:space="0"/>
            </w:tcBorders>
            <w:noWrap w:val="0"/>
            <w:vAlign w:val="center"/>
          </w:tcPr>
          <w:p w14:paraId="414AB02F">
            <w:pPr>
              <w:jc w:val="center"/>
              <w:rPr>
                <w:rFonts w:hint="eastAsia" w:ascii="宋体" w:hAnsi="宋体" w:cs="宋体"/>
                <w:b/>
                <w:bCs/>
                <w:color w:val="000000"/>
                <w:sz w:val="24"/>
                <w:szCs w:val="24"/>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F0E6A">
            <w:pPr>
              <w:jc w:val="center"/>
              <w:rPr>
                <w:rFonts w:hint="eastAsia" w:ascii="宋体" w:hAnsi="宋体" w:cs="宋体"/>
                <w:b/>
                <w:bCs/>
                <w:color w:val="000000"/>
                <w:sz w:val="24"/>
                <w:szCs w:val="24"/>
              </w:rPr>
            </w:pPr>
          </w:p>
        </w:tc>
        <w:tc>
          <w:tcPr>
            <w:tcW w:w="1305" w:type="dxa"/>
            <w:tcBorders>
              <w:top w:val="single" w:color="000000" w:sz="4" w:space="0"/>
              <w:left w:val="single" w:color="000000" w:sz="4" w:space="0"/>
              <w:bottom w:val="single" w:color="000000" w:sz="4" w:space="0"/>
              <w:right w:val="nil"/>
            </w:tcBorders>
            <w:noWrap w:val="0"/>
            <w:vAlign w:val="center"/>
          </w:tcPr>
          <w:p w14:paraId="1296E7D9">
            <w:pPr>
              <w:jc w:val="center"/>
              <w:rPr>
                <w:rFonts w:hint="eastAsia" w:ascii="宋体" w:hAnsi="宋体" w:cs="宋体"/>
                <w:b/>
                <w:bCs/>
                <w:color w:val="000000"/>
                <w:sz w:val="24"/>
                <w:szCs w:val="24"/>
              </w:rPr>
            </w:pPr>
          </w:p>
        </w:tc>
        <w:tc>
          <w:tcPr>
            <w:tcW w:w="885" w:type="dxa"/>
            <w:tcBorders>
              <w:top w:val="single" w:color="000000" w:sz="4" w:space="0"/>
              <w:left w:val="nil"/>
              <w:bottom w:val="single" w:color="000000" w:sz="4" w:space="0"/>
              <w:right w:val="nil"/>
            </w:tcBorders>
            <w:noWrap w:val="0"/>
            <w:vAlign w:val="center"/>
          </w:tcPr>
          <w:p w14:paraId="5E017ED1">
            <w:pPr>
              <w:jc w:val="center"/>
              <w:rPr>
                <w:rFonts w:hint="eastAsia" w:ascii="宋体" w:hAnsi="宋体" w:cs="宋体"/>
                <w:b/>
                <w:bCs/>
                <w:color w:val="000000"/>
                <w:sz w:val="24"/>
                <w:szCs w:val="24"/>
              </w:rPr>
            </w:pPr>
          </w:p>
        </w:tc>
        <w:tc>
          <w:tcPr>
            <w:tcW w:w="975" w:type="dxa"/>
            <w:tcBorders>
              <w:top w:val="single" w:color="000000" w:sz="4" w:space="0"/>
              <w:left w:val="nil"/>
              <w:bottom w:val="single" w:color="000000" w:sz="4" w:space="0"/>
              <w:right w:val="single" w:color="000000" w:sz="4" w:space="0"/>
            </w:tcBorders>
            <w:noWrap w:val="0"/>
            <w:vAlign w:val="center"/>
          </w:tcPr>
          <w:p w14:paraId="2F5D3AB5">
            <w:pPr>
              <w:jc w:val="center"/>
              <w:rPr>
                <w:rFonts w:hint="eastAsia" w:ascii="宋体" w:hAnsi="宋体" w:cs="宋体"/>
                <w:b/>
                <w:bCs/>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7C70A8E">
            <w:pPr>
              <w:jc w:val="center"/>
              <w:rPr>
                <w:rFonts w:hint="eastAsia" w:ascii="宋体" w:hAnsi="宋体" w:cs="宋体"/>
                <w:b/>
                <w:bCs/>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2EBC673">
            <w:pPr>
              <w:rPr>
                <w:rFonts w:hint="eastAsia" w:ascii="宋体" w:hAnsi="宋体" w:cs="宋体"/>
                <w:b/>
                <w:bCs/>
                <w:color w:val="000000"/>
                <w:sz w:val="24"/>
                <w:szCs w:val="24"/>
              </w:rPr>
            </w:pPr>
          </w:p>
        </w:tc>
      </w:tr>
      <w:tr w14:paraId="5B82CC5B">
        <w:tblPrEx>
          <w:tblCellMar>
            <w:top w:w="0" w:type="dxa"/>
            <w:left w:w="108" w:type="dxa"/>
            <w:bottom w:w="0" w:type="dxa"/>
            <w:right w:w="108" w:type="dxa"/>
          </w:tblCellMar>
        </w:tblPrEx>
        <w:trPr>
          <w:trHeight w:val="900" w:hRule="atLeast"/>
          <w:jc w:val="center"/>
        </w:trPr>
        <w:tc>
          <w:tcPr>
            <w:tcW w:w="3031" w:type="dxa"/>
            <w:gridSpan w:val="2"/>
            <w:tcBorders>
              <w:top w:val="single" w:color="000000" w:sz="4" w:space="0"/>
              <w:left w:val="single" w:color="000000" w:sz="4" w:space="0"/>
              <w:bottom w:val="single" w:color="000000" w:sz="4" w:space="0"/>
              <w:right w:val="single" w:color="000000" w:sz="4" w:space="0"/>
            </w:tcBorders>
            <w:noWrap w:val="0"/>
            <w:vAlign w:val="center"/>
          </w:tcPr>
          <w:p w14:paraId="3E6CF88D">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受益对象（或监护人）签字</w:t>
            </w:r>
          </w:p>
        </w:tc>
        <w:tc>
          <w:tcPr>
            <w:tcW w:w="3165" w:type="dxa"/>
            <w:gridSpan w:val="3"/>
            <w:tcBorders>
              <w:top w:val="single" w:color="000000" w:sz="4" w:space="0"/>
              <w:left w:val="single" w:color="000000" w:sz="4" w:space="0"/>
              <w:bottom w:val="single" w:color="000000" w:sz="4" w:space="0"/>
              <w:right w:val="single" w:color="000000" w:sz="4" w:space="0"/>
            </w:tcBorders>
            <w:noWrap w:val="0"/>
            <w:vAlign w:val="center"/>
          </w:tcPr>
          <w:p w14:paraId="26EC73F3">
            <w:pPr>
              <w:jc w:val="center"/>
              <w:rPr>
                <w:rFonts w:hint="eastAsia" w:ascii="宋体" w:hAnsi="宋体" w:cs="宋体"/>
                <w:b/>
                <w:bCs/>
                <w:color w:val="000000"/>
                <w:sz w:val="24"/>
                <w:szCs w:val="24"/>
              </w:rPr>
            </w:pPr>
          </w:p>
        </w:tc>
        <w:tc>
          <w:tcPr>
            <w:tcW w:w="2972" w:type="dxa"/>
            <w:gridSpan w:val="2"/>
            <w:tcBorders>
              <w:top w:val="single" w:color="000000" w:sz="4" w:space="0"/>
              <w:left w:val="single" w:color="000000" w:sz="4" w:space="0"/>
              <w:bottom w:val="single" w:color="000000" w:sz="4" w:space="0"/>
              <w:right w:val="single" w:color="000000" w:sz="4" w:space="0"/>
            </w:tcBorders>
            <w:noWrap w:val="0"/>
            <w:vAlign w:val="center"/>
          </w:tcPr>
          <w:p w14:paraId="2F371EB6">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签字日期：   年  月  日</w:t>
            </w:r>
          </w:p>
        </w:tc>
      </w:tr>
      <w:tr w14:paraId="5C328783">
        <w:tblPrEx>
          <w:tblCellMar>
            <w:top w:w="0" w:type="dxa"/>
            <w:left w:w="108" w:type="dxa"/>
            <w:bottom w:w="0" w:type="dxa"/>
            <w:right w:w="108" w:type="dxa"/>
          </w:tblCellMar>
        </w:tblPrEx>
        <w:trPr>
          <w:trHeight w:val="1278" w:hRule="atLeast"/>
          <w:jc w:val="center"/>
        </w:trPr>
        <w:tc>
          <w:tcPr>
            <w:tcW w:w="9168" w:type="dxa"/>
            <w:gridSpan w:val="7"/>
            <w:tcBorders>
              <w:top w:val="single" w:color="000000" w:sz="4" w:space="0"/>
              <w:left w:val="nil"/>
              <w:bottom w:val="nil"/>
              <w:right w:val="nil"/>
            </w:tcBorders>
            <w:noWrap w:val="0"/>
            <w:vAlign w:val="center"/>
          </w:tcPr>
          <w:p w14:paraId="19677DD2">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受益人请注意：为保证项目实施的有效性，会计师事务所将选取部分受益人采用电话方式就您是否接受</w:t>
            </w:r>
            <w:r>
              <w:rPr>
                <w:rStyle w:val="12"/>
                <w:rFonts w:hint="default"/>
                <w:u w:val="none"/>
                <w:lang w:bidi="ar"/>
              </w:rPr>
              <w:t>过</w:t>
            </w:r>
            <w:r>
              <w:rPr>
                <w:rStyle w:val="13"/>
                <w:rFonts w:hint="default"/>
                <w:lang w:bidi="ar"/>
              </w:rPr>
              <w:t>救助、救助方式、救助金额等进行回访，请您予以配合，谢谢！</w:t>
            </w:r>
          </w:p>
        </w:tc>
      </w:tr>
    </w:tbl>
    <w:p w14:paraId="26889115">
      <w:pPr>
        <w:spacing w:line="620" w:lineRule="exact"/>
        <w:ind w:firstLine="640" w:firstLineChars="200"/>
        <w:rPr>
          <w:rFonts w:hint="eastAsia" w:ascii="仿宋_GB2312" w:eastAsia="仿宋_GB2312"/>
          <w:color w:val="000000"/>
          <w:sz w:val="32"/>
          <w:szCs w:val="32"/>
        </w:rPr>
      </w:pPr>
      <w:bookmarkStart w:id="140" w:name="_GoBack"/>
      <w:bookmarkEnd w:id="140"/>
    </w:p>
    <w:sectPr>
      <w:footerReference r:id="rId3" w:type="default"/>
      <w:type w:val="oddPage"/>
      <w:pgSz w:w="11906" w:h="16838"/>
      <w:pgMar w:top="1418" w:right="1797" w:bottom="1418"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21FFF">
    <w:pPr>
      <w:pStyle w:val="3"/>
      <w:jc w:val="center"/>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594D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7594D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3561997">
                          <w:pPr>
                            <w:pStyle w:val="3"/>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14:paraId="73561997">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99"/>
    <w:rsid w:val="00016053"/>
    <w:rsid w:val="00073C20"/>
    <w:rsid w:val="001940FB"/>
    <w:rsid w:val="00565558"/>
    <w:rsid w:val="006444A7"/>
    <w:rsid w:val="00667FFC"/>
    <w:rsid w:val="00833838"/>
    <w:rsid w:val="00962E6F"/>
    <w:rsid w:val="00B60789"/>
    <w:rsid w:val="00BA4EA5"/>
    <w:rsid w:val="00C222A3"/>
    <w:rsid w:val="00C3373F"/>
    <w:rsid w:val="00D90699"/>
    <w:rsid w:val="00DC0FBB"/>
    <w:rsid w:val="00DF0230"/>
    <w:rsid w:val="13F42FC2"/>
    <w:rsid w:val="4F4061A7"/>
    <w:rsid w:val="5D6D37D9"/>
    <w:rsid w:val="6773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widowControl/>
      <w:spacing w:after="100" w:line="259" w:lineRule="auto"/>
      <w:ind w:left="440"/>
      <w:jc w:val="left"/>
    </w:pPr>
    <w:rPr>
      <w:rFonts w:ascii="等线" w:hAnsi="等线" w:eastAsia="等线"/>
      <w:kern w:val="0"/>
      <w:sz w:val="2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widowControl/>
      <w:tabs>
        <w:tab w:val="right" w:leader="dot" w:pos="8296"/>
      </w:tabs>
      <w:spacing w:after="100" w:line="259" w:lineRule="auto"/>
      <w:jc w:val="left"/>
    </w:pPr>
    <w:rPr>
      <w:rFonts w:ascii="等线" w:hAnsi="等线" w:eastAsia="等线"/>
      <w:kern w:val="0"/>
      <w:sz w:val="22"/>
    </w:rPr>
  </w:style>
  <w:style w:type="paragraph" w:styleId="6">
    <w:name w:val="toc 2"/>
    <w:basedOn w:val="1"/>
    <w:next w:val="1"/>
    <w:unhideWhenUsed/>
    <w:qFormat/>
    <w:uiPriority w:val="39"/>
    <w:pPr>
      <w:widowControl/>
      <w:spacing w:after="100" w:line="259" w:lineRule="auto"/>
      <w:ind w:left="220"/>
      <w:jc w:val="left"/>
    </w:pPr>
    <w:rPr>
      <w:rFonts w:ascii="等线" w:hAnsi="等线" w:eastAsia="等线"/>
      <w:kern w:val="0"/>
      <w:sz w:val="22"/>
    </w:rPr>
  </w:style>
  <w:style w:type="character" w:styleId="9">
    <w:name w:val="Strong"/>
    <w:qFormat/>
    <w:uiPriority w:val="22"/>
    <w:rPr>
      <w:b/>
      <w:bCs/>
    </w:rPr>
  </w:style>
  <w:style w:type="character" w:styleId="10">
    <w:name w:val="Hyperlink"/>
    <w:unhideWhenUsed/>
    <w:qFormat/>
    <w:uiPriority w:val="99"/>
    <w:rPr>
      <w:color w:val="0563C1"/>
      <w:u w:val="single"/>
    </w:rPr>
  </w:style>
  <w:style w:type="character" w:customStyle="1" w:styleId="11">
    <w:name w:val="页脚 Char"/>
    <w:basedOn w:val="8"/>
    <w:link w:val="3"/>
    <w:qFormat/>
    <w:uiPriority w:val="99"/>
    <w:rPr>
      <w:rFonts w:ascii="Times New Roman" w:hAnsi="Times New Roman" w:eastAsia="宋体" w:cs="Times New Roman"/>
      <w:sz w:val="18"/>
      <w:szCs w:val="18"/>
    </w:rPr>
  </w:style>
  <w:style w:type="character" w:customStyle="1" w:styleId="12">
    <w:name w:val="font81"/>
    <w:qFormat/>
    <w:uiPriority w:val="0"/>
    <w:rPr>
      <w:rFonts w:hint="eastAsia" w:ascii="宋体" w:hAnsi="宋体" w:eastAsia="宋体" w:cs="宋体"/>
      <w:color w:val="000000"/>
      <w:sz w:val="24"/>
      <w:szCs w:val="24"/>
      <w:u w:val="single"/>
    </w:rPr>
  </w:style>
  <w:style w:type="character" w:customStyle="1" w:styleId="13">
    <w:name w:val="font61"/>
    <w:qFormat/>
    <w:uiPriority w:val="0"/>
    <w:rPr>
      <w:rFonts w:hint="eastAsia" w:ascii="宋体" w:hAnsi="宋体" w:eastAsia="宋体" w:cs="宋体"/>
      <w:color w:val="000000"/>
      <w:sz w:val="24"/>
      <w:szCs w:val="24"/>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18</Pages>
  <Words>8564</Words>
  <Characters>8621</Characters>
  <Lines>61</Lines>
  <Paragraphs>17</Paragraphs>
  <TotalTime>0</TotalTime>
  <ScaleCrop>false</ScaleCrop>
  <LinksUpToDate>false</LinksUpToDate>
  <CharactersWithSpaces>8621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2025-08-13T06:55:00Z</dcterms:created>
  <dc:creator>MZT</dc:creator>
  <cp:lastModifiedBy>杨宇佳</cp:lastModifiedBy>
  <dcterms:modified xsi:type="dcterms:W3CDTF">2025-08-27T09:24:21Z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eyJoZGlkIjoiYjNkOThiMzUzMWYzMDY3ZGNjNjA5YmExMzRjNzA3YjEifQ==</vt:lpwstr>
  </property>
  <property fmtid="{D5CDD505-2E9C-101B-9397-08002B2CF9AE}" pid="3" name="KSOProductBuildVer">
    <vt:lpwstr>2052-12.1.0.22529</vt:lpwstr>
  </property>
  <property fmtid="{D5CDD505-2E9C-101B-9397-08002B2CF9AE}" pid="4" name="ICV">
    <vt:lpwstr>9DE1C4EBCCBC45D994329B158BF3D5B8_12</vt:lpwstr>
  </property>
</Properties>
</file>