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0D0" w:rsidRDefault="00BA10D0" w:rsidP="00BA10D0">
      <w:pPr>
        <w:spacing w:line="600" w:lineRule="exact"/>
        <w:rPr>
          <w:rFonts w:ascii="楷体_GB2312" w:eastAsia="楷体_GB2312" w:hAnsi="黑体"/>
          <w:sz w:val="32"/>
          <w:szCs w:val="32"/>
        </w:rPr>
      </w:pPr>
    </w:p>
    <w:p w:rsidR="00BA10D0" w:rsidRDefault="00BA10D0" w:rsidP="00BA10D0">
      <w:pPr>
        <w:spacing w:line="600" w:lineRule="exact"/>
        <w:jc w:val="center"/>
        <w:rPr>
          <w:rFonts w:ascii="方正小标宋简体" w:eastAsia="方正小标宋简体" w:hAnsi="黑体"/>
          <w:sz w:val="44"/>
          <w:szCs w:val="44"/>
        </w:rPr>
      </w:pPr>
      <w:r>
        <w:rPr>
          <w:rFonts w:ascii="方正小标宋简体" w:eastAsia="方正小标宋简体" w:hAnsi="黑体" w:hint="eastAsia"/>
          <w:sz w:val="44"/>
          <w:szCs w:val="44"/>
        </w:rPr>
        <w:t>山东省新建城镇居住区社区养老服务设施</w:t>
      </w:r>
      <w:r>
        <w:rPr>
          <w:rFonts w:ascii="方正小标宋简体" w:eastAsia="方正小标宋简体" w:hAnsi="黑体" w:hint="eastAsia"/>
          <w:sz w:val="44"/>
          <w:szCs w:val="44"/>
        </w:rPr>
        <w:br/>
        <w:t>规划、建设、移交和使用管理办法</w:t>
      </w:r>
    </w:p>
    <w:p w:rsidR="00BA10D0" w:rsidRDefault="00BA10D0" w:rsidP="00BA10D0">
      <w:pPr>
        <w:spacing w:line="600" w:lineRule="exact"/>
        <w:jc w:val="center"/>
        <w:rPr>
          <w:rFonts w:ascii="楷体_GB2312" w:eastAsia="楷体_GB2312" w:hAnsi="黑体"/>
          <w:sz w:val="32"/>
          <w:szCs w:val="32"/>
        </w:rPr>
      </w:pPr>
      <w:r>
        <w:rPr>
          <w:rFonts w:ascii="楷体_GB2312" w:eastAsia="楷体_GB2312" w:hAnsi="黑体" w:hint="eastAsia"/>
          <w:sz w:val="32"/>
          <w:szCs w:val="32"/>
        </w:rPr>
        <w:t>（</w:t>
      </w:r>
      <w:r w:rsidR="003E36EE">
        <w:rPr>
          <w:rFonts w:ascii="楷体_GB2312" w:eastAsia="楷体_GB2312" w:hAnsi="黑体" w:hint="eastAsia"/>
          <w:sz w:val="32"/>
          <w:szCs w:val="32"/>
        </w:rPr>
        <w:t>公开征求意见稿</w:t>
      </w:r>
      <w:r>
        <w:rPr>
          <w:rFonts w:ascii="楷体_GB2312" w:eastAsia="楷体_GB2312" w:hAnsi="黑体" w:hint="eastAsia"/>
          <w:sz w:val="32"/>
          <w:szCs w:val="32"/>
        </w:rPr>
        <w:t>）</w:t>
      </w:r>
    </w:p>
    <w:p w:rsidR="00BA10D0" w:rsidRDefault="00BA10D0" w:rsidP="00BA10D0">
      <w:pPr>
        <w:spacing w:line="600" w:lineRule="exact"/>
        <w:rPr>
          <w:rFonts w:ascii="仿宋_GB2312" w:eastAsia="仿宋_GB2312"/>
          <w:sz w:val="32"/>
          <w:szCs w:val="32"/>
        </w:rPr>
      </w:pPr>
      <w:r>
        <w:rPr>
          <w:rFonts w:ascii="仿宋_GB2312" w:eastAsia="仿宋_GB2312" w:hint="eastAsia"/>
          <w:sz w:val="32"/>
          <w:szCs w:val="32"/>
        </w:rPr>
        <w:t xml:space="preserve"> </w:t>
      </w:r>
      <w:bookmarkStart w:id="0" w:name="_GoBack"/>
      <w:bookmarkEnd w:id="0"/>
    </w:p>
    <w:p w:rsidR="00BA10D0" w:rsidRDefault="00BA10D0" w:rsidP="00BA10D0">
      <w:pPr>
        <w:spacing w:line="600" w:lineRule="exact"/>
        <w:ind w:firstLineChars="200" w:firstLine="640"/>
        <w:rPr>
          <w:rFonts w:ascii="仿宋_GB2312" w:eastAsia="仿宋_GB2312"/>
          <w:sz w:val="32"/>
          <w:szCs w:val="32"/>
        </w:rPr>
      </w:pPr>
      <w:r>
        <w:rPr>
          <w:rFonts w:ascii="仿宋_GB2312" w:eastAsia="仿宋_GB2312" w:hint="eastAsia"/>
          <w:sz w:val="32"/>
          <w:szCs w:val="32"/>
        </w:rPr>
        <w:t>为实施积极应对人口老龄化国家战略，规范新建小区社区养老服务设施规划、建设、移交与管理工作，推动居家社区养老服务发展，根据《山东省养老服务条例》和有关政策规定，制定本管理办法。</w:t>
      </w:r>
    </w:p>
    <w:p w:rsidR="00BA10D0" w:rsidRDefault="00BA10D0" w:rsidP="00BA10D0">
      <w:pPr>
        <w:spacing w:line="600" w:lineRule="exact"/>
        <w:ind w:firstLineChars="200" w:firstLine="640"/>
        <w:rPr>
          <w:rFonts w:ascii="仿宋_GB2312" w:eastAsia="仿宋_GB2312"/>
          <w:sz w:val="32"/>
          <w:szCs w:val="32"/>
        </w:rPr>
      </w:pPr>
      <w:r>
        <w:rPr>
          <w:rFonts w:ascii="仿宋_GB2312" w:eastAsia="仿宋_GB2312" w:hint="eastAsia"/>
          <w:sz w:val="32"/>
          <w:szCs w:val="32"/>
        </w:rPr>
        <w:t xml:space="preserve"> </w:t>
      </w:r>
    </w:p>
    <w:p w:rsidR="00BA10D0" w:rsidRDefault="00BA10D0" w:rsidP="00BA10D0">
      <w:pPr>
        <w:pStyle w:val="a3"/>
        <w:spacing w:before="0" w:beforeAutospacing="0" w:after="0" w:afterAutospacing="0" w:line="600" w:lineRule="exact"/>
        <w:jc w:val="center"/>
        <w:rPr>
          <w:rStyle w:val="15"/>
          <w:rFonts w:ascii="黑体" w:eastAsia="黑体" w:hAnsi="黑体" w:cs="宋体"/>
          <w:b w:val="0"/>
        </w:rPr>
      </w:pPr>
      <w:r>
        <w:rPr>
          <w:rStyle w:val="15"/>
          <w:rFonts w:ascii="黑体" w:eastAsia="黑体" w:hAnsi="黑体" w:hint="eastAsia"/>
          <w:b w:val="0"/>
          <w:sz w:val="32"/>
          <w:szCs w:val="32"/>
        </w:rPr>
        <w:t>第一章</w:t>
      </w:r>
      <w:r>
        <w:rPr>
          <w:rStyle w:val="15"/>
          <w:rFonts w:ascii="Cambria" w:eastAsia="黑体" w:hAnsi="Cambria"/>
          <w:b w:val="0"/>
          <w:sz w:val="32"/>
          <w:szCs w:val="32"/>
        </w:rPr>
        <w:t xml:space="preserve"> </w:t>
      </w:r>
      <w:r>
        <w:rPr>
          <w:rStyle w:val="15"/>
          <w:rFonts w:ascii="黑体" w:eastAsia="黑体" w:hAnsi="黑体" w:hint="eastAsia"/>
          <w:b w:val="0"/>
          <w:sz w:val="32"/>
          <w:szCs w:val="32"/>
        </w:rPr>
        <w:t xml:space="preserve">  总  则</w:t>
      </w:r>
    </w:p>
    <w:p w:rsidR="00BA10D0" w:rsidRDefault="00BA10D0" w:rsidP="00BA10D0">
      <w:pPr>
        <w:pStyle w:val="a3"/>
        <w:spacing w:before="0" w:beforeAutospacing="0" w:after="0" w:afterAutospacing="0" w:line="600" w:lineRule="exact"/>
        <w:jc w:val="center"/>
        <w:rPr>
          <w:rStyle w:val="15"/>
          <w:rFonts w:ascii="黑体" w:eastAsia="黑体" w:hAnsi="黑体"/>
          <w:b w:val="0"/>
          <w:sz w:val="32"/>
          <w:szCs w:val="32"/>
        </w:rPr>
      </w:pPr>
      <w:r>
        <w:rPr>
          <w:rStyle w:val="15"/>
          <w:rFonts w:ascii="黑体" w:eastAsia="黑体" w:hAnsi="黑体" w:hint="eastAsia"/>
          <w:b w:val="0"/>
          <w:sz w:val="32"/>
          <w:szCs w:val="32"/>
        </w:rPr>
        <w:t xml:space="preserve"> </w:t>
      </w:r>
    </w:p>
    <w:p w:rsidR="00BA10D0" w:rsidRDefault="00BA10D0" w:rsidP="00BA10D0">
      <w:pPr>
        <w:spacing w:line="600" w:lineRule="exact"/>
        <w:ind w:firstLineChars="200" w:firstLine="640"/>
        <w:rPr>
          <w:rFonts w:ascii="仿宋_GB2312" w:eastAsia="仿宋_GB2312"/>
        </w:rPr>
      </w:pPr>
      <w:r>
        <w:rPr>
          <w:rFonts w:ascii="黑体" w:eastAsia="黑体" w:hAnsi="黑体" w:hint="eastAsia"/>
          <w:sz w:val="32"/>
          <w:szCs w:val="32"/>
        </w:rPr>
        <w:t>第一条</w:t>
      </w:r>
      <w:r>
        <w:rPr>
          <w:rFonts w:ascii="仿宋_GB2312" w:eastAsia="仿宋_GB2312" w:hint="eastAsia"/>
          <w:sz w:val="32"/>
          <w:szCs w:val="32"/>
        </w:rPr>
        <w:t xml:space="preserve"> 本办法适用于山东省行政区域内新建的商品房居住区、安置小区、保障性租赁住房等各类城镇居住区。</w:t>
      </w:r>
    </w:p>
    <w:p w:rsidR="00BA10D0" w:rsidRDefault="00BA10D0" w:rsidP="00BA10D0">
      <w:pPr>
        <w:spacing w:line="600" w:lineRule="exact"/>
        <w:ind w:firstLineChars="200" w:firstLine="640"/>
        <w:rPr>
          <w:rFonts w:ascii="仿宋_GB2312" w:eastAsia="仿宋_GB2312"/>
          <w:sz w:val="32"/>
          <w:szCs w:val="32"/>
        </w:rPr>
      </w:pPr>
      <w:r>
        <w:rPr>
          <w:rFonts w:ascii="黑体" w:eastAsia="黑体" w:hAnsi="黑体" w:hint="eastAsia"/>
          <w:sz w:val="32"/>
          <w:szCs w:val="32"/>
        </w:rPr>
        <w:t>第二条</w:t>
      </w:r>
      <w:r>
        <w:rPr>
          <w:rFonts w:ascii="仿宋_GB2312" w:eastAsia="仿宋_GB2312" w:hint="eastAsia"/>
          <w:sz w:val="32"/>
          <w:szCs w:val="32"/>
        </w:rPr>
        <w:t xml:space="preserve"> 社区养老服务设施是指为社区老年人提供生活照料、康复护理、助餐助行、上门服务、紧急救援、精神慰藉等服务的场所。</w:t>
      </w:r>
    </w:p>
    <w:p w:rsidR="00BA10D0" w:rsidRDefault="00BA10D0" w:rsidP="00BA10D0">
      <w:pPr>
        <w:spacing w:line="600" w:lineRule="exact"/>
        <w:ind w:firstLineChars="200" w:firstLine="640"/>
        <w:rPr>
          <w:rFonts w:ascii="仿宋_GB2312" w:eastAsia="仿宋_GB2312"/>
          <w:sz w:val="32"/>
          <w:szCs w:val="32"/>
        </w:rPr>
      </w:pPr>
      <w:r>
        <w:rPr>
          <w:rFonts w:ascii="黑体" w:eastAsia="黑体" w:hAnsi="黑体" w:hint="eastAsia"/>
          <w:sz w:val="32"/>
          <w:szCs w:val="32"/>
        </w:rPr>
        <w:t>第三条</w:t>
      </w:r>
      <w:r>
        <w:rPr>
          <w:rFonts w:ascii="仿宋_GB2312" w:eastAsia="仿宋_GB2312" w:hint="eastAsia"/>
          <w:sz w:val="32"/>
          <w:szCs w:val="32"/>
        </w:rPr>
        <w:t xml:space="preserve"> 配建社区养老服务设施应当按照每百户不低于20平方米的标准进行规划建设，与新建居住区同步规划、同步建设、同步验收、同步交付使用。</w:t>
      </w:r>
    </w:p>
    <w:p w:rsidR="00BA10D0" w:rsidRDefault="00BA10D0" w:rsidP="00BA10D0">
      <w:pPr>
        <w:spacing w:line="600" w:lineRule="exact"/>
        <w:ind w:firstLineChars="200" w:firstLine="640"/>
        <w:rPr>
          <w:rFonts w:ascii="仿宋_GB2312" w:eastAsia="仿宋_GB2312"/>
          <w:color w:val="000000"/>
          <w:sz w:val="32"/>
          <w:szCs w:val="32"/>
        </w:rPr>
      </w:pPr>
      <w:r>
        <w:rPr>
          <w:rFonts w:ascii="仿宋_GB2312" w:eastAsia="仿宋_GB2312" w:hint="eastAsia"/>
          <w:sz w:val="32"/>
          <w:szCs w:val="32"/>
        </w:rPr>
        <w:t>占地面积较小的居住小区，可统筹多个小区规划配建社区养老服务设施。统筹配建时，应综合考虑本地城区实际情况，综合小区密度、周边人口数量与分布状况等因素，参照</w:t>
      </w:r>
      <w:r>
        <w:rPr>
          <w:rFonts w:ascii="仿宋_GB2312" w:eastAsia="仿宋_GB2312" w:hint="eastAsia"/>
          <w:sz w:val="32"/>
          <w:szCs w:val="32"/>
        </w:rPr>
        <w:lastRenderedPageBreak/>
        <w:t>《城市居住区规划设计标准》(GB50180—2018)</w:t>
      </w:r>
      <w:r w:rsidRPr="00BA10D0">
        <w:rPr>
          <w:rFonts w:ascii="仿宋_GB2312" w:eastAsia="仿宋_GB2312" w:hint="eastAsia"/>
          <w:sz w:val="32"/>
          <w:szCs w:val="32"/>
        </w:rPr>
        <w:t>和《完整居住社区建设标准（试行）》</w:t>
      </w:r>
      <w:r>
        <w:rPr>
          <w:rFonts w:ascii="仿宋_GB2312" w:eastAsia="仿宋_GB2312" w:hint="eastAsia"/>
          <w:sz w:val="32"/>
          <w:szCs w:val="32"/>
        </w:rPr>
        <w:t>进行规划配建，</w:t>
      </w:r>
      <w:r w:rsidRPr="00BA10D0">
        <w:rPr>
          <w:rFonts w:ascii="仿宋_GB2312" w:eastAsia="仿宋_GB2312" w:hint="eastAsia"/>
          <w:sz w:val="32"/>
          <w:szCs w:val="32"/>
        </w:rPr>
        <w:t>原则上规划配建的单处社区养老服务设施建筑面积不得少于350平方米。</w:t>
      </w:r>
    </w:p>
    <w:p w:rsidR="00BA10D0" w:rsidRDefault="00BA10D0" w:rsidP="00BA10D0">
      <w:pPr>
        <w:spacing w:line="600" w:lineRule="exact"/>
        <w:ind w:firstLineChars="200" w:firstLine="640"/>
        <w:rPr>
          <w:rFonts w:ascii="仿宋_GB2312" w:eastAsia="仿宋_GB2312"/>
          <w:sz w:val="32"/>
          <w:szCs w:val="32"/>
        </w:rPr>
      </w:pPr>
      <w:r>
        <w:rPr>
          <w:rFonts w:ascii="黑体" w:eastAsia="黑体" w:hAnsi="黑体" w:hint="eastAsia"/>
          <w:sz w:val="32"/>
          <w:szCs w:val="32"/>
        </w:rPr>
        <w:t>第四条</w:t>
      </w:r>
      <w:r>
        <w:rPr>
          <w:rFonts w:ascii="仿宋_GB2312" w:eastAsia="仿宋_GB2312" w:hint="eastAsia"/>
          <w:sz w:val="32"/>
          <w:szCs w:val="32"/>
        </w:rPr>
        <w:t xml:space="preserve"> 各级民政、自然资源、住房城乡建设、行政审批、行政执法等有关行政主管部门及相关建设单位，要认真落实职责分工，加强协作配合，共同做好新建居住区社区养老服务设施规划、建设、移交和使用管理工作。民政部门作为养老服务工作的主管部门，负责牵头和协调推进有关工作。</w:t>
      </w:r>
    </w:p>
    <w:p w:rsidR="00BA10D0" w:rsidRDefault="00BA10D0" w:rsidP="00BA10D0">
      <w:pPr>
        <w:spacing w:line="600" w:lineRule="exact"/>
        <w:ind w:firstLineChars="200" w:firstLine="640"/>
        <w:rPr>
          <w:rFonts w:ascii="仿宋_GB2312" w:eastAsia="仿宋_GB2312"/>
          <w:sz w:val="32"/>
          <w:szCs w:val="32"/>
        </w:rPr>
      </w:pPr>
      <w:r>
        <w:rPr>
          <w:rFonts w:ascii="仿宋_GB2312" w:eastAsia="仿宋_GB2312" w:hint="eastAsia"/>
          <w:sz w:val="32"/>
          <w:szCs w:val="32"/>
        </w:rPr>
        <w:t xml:space="preserve"> </w:t>
      </w:r>
    </w:p>
    <w:p w:rsidR="00BA10D0" w:rsidRDefault="00BA10D0" w:rsidP="00BA10D0">
      <w:pPr>
        <w:spacing w:line="600" w:lineRule="exact"/>
        <w:jc w:val="center"/>
        <w:rPr>
          <w:rFonts w:ascii="黑体" w:eastAsia="黑体" w:hAnsi="黑体"/>
          <w:sz w:val="32"/>
          <w:szCs w:val="32"/>
        </w:rPr>
      </w:pPr>
      <w:r>
        <w:rPr>
          <w:rFonts w:ascii="黑体" w:eastAsia="黑体" w:hAnsi="黑体" w:hint="eastAsia"/>
          <w:sz w:val="32"/>
          <w:szCs w:val="32"/>
        </w:rPr>
        <w:t>第二章  规划设计</w:t>
      </w:r>
    </w:p>
    <w:p w:rsidR="00DD14EF" w:rsidRDefault="00BA10D0" w:rsidP="00DD14EF">
      <w:pPr>
        <w:spacing w:line="600" w:lineRule="exact"/>
        <w:rPr>
          <w:rFonts w:ascii="仿宋_GB2312" w:eastAsia="仿宋_GB2312"/>
          <w:sz w:val="32"/>
          <w:szCs w:val="32"/>
        </w:rPr>
      </w:pPr>
      <w:r>
        <w:rPr>
          <w:rFonts w:ascii="仿宋_GB2312" w:eastAsia="仿宋_GB2312" w:hint="eastAsia"/>
          <w:sz w:val="32"/>
          <w:szCs w:val="32"/>
        </w:rPr>
        <w:t xml:space="preserve"> </w:t>
      </w:r>
    </w:p>
    <w:p w:rsidR="00BA10D0" w:rsidRDefault="00BA10D0" w:rsidP="00DD14EF">
      <w:pPr>
        <w:spacing w:line="600" w:lineRule="exact"/>
        <w:ind w:firstLineChars="200" w:firstLine="640"/>
        <w:rPr>
          <w:rFonts w:ascii="仿宋_GB2312" w:eastAsia="仿宋_GB2312"/>
          <w:sz w:val="32"/>
          <w:szCs w:val="32"/>
        </w:rPr>
      </w:pPr>
      <w:r>
        <w:rPr>
          <w:rFonts w:ascii="黑体" w:eastAsia="黑体" w:hAnsi="黑体" w:hint="eastAsia"/>
          <w:sz w:val="32"/>
          <w:szCs w:val="32"/>
        </w:rPr>
        <w:t>第</w:t>
      </w:r>
      <w:r w:rsidR="00DD14EF">
        <w:rPr>
          <w:rFonts w:ascii="黑体" w:eastAsia="黑体" w:hAnsi="黑体" w:hint="eastAsia"/>
          <w:sz w:val="32"/>
          <w:szCs w:val="32"/>
        </w:rPr>
        <w:t>五</w:t>
      </w:r>
      <w:r>
        <w:rPr>
          <w:rFonts w:ascii="黑体" w:eastAsia="黑体" w:hAnsi="黑体" w:hint="eastAsia"/>
          <w:sz w:val="32"/>
          <w:szCs w:val="32"/>
        </w:rPr>
        <w:t>条</w:t>
      </w:r>
      <w:r>
        <w:rPr>
          <w:rFonts w:ascii="仿宋_GB2312" w:eastAsia="仿宋_GB2312" w:hint="eastAsia"/>
          <w:sz w:val="32"/>
          <w:szCs w:val="32"/>
        </w:rPr>
        <w:t xml:space="preserve"> </w:t>
      </w:r>
      <w:r>
        <w:rPr>
          <w:rFonts w:ascii="仿宋_GB2312" w:eastAsia="仿宋_GB2312" w:hint="eastAsia"/>
          <w:color w:val="FF0000"/>
          <w:sz w:val="32"/>
          <w:szCs w:val="32"/>
        </w:rPr>
        <w:t xml:space="preserve"> </w:t>
      </w:r>
      <w:r>
        <w:rPr>
          <w:rFonts w:ascii="仿宋_GB2312" w:eastAsia="仿宋_GB2312" w:hint="eastAsia"/>
          <w:sz w:val="32"/>
          <w:szCs w:val="32"/>
        </w:rPr>
        <w:t>设区的市、县（市）自然资源部门在提出新建居住区项目用地规划条件时，应根据经审查批准的公共服务设施、养老服务设施等空间类专项规划和控制性详细规划等要求，按照每百户不少于20平方米的标准，同步提出配建社区养老服务设施要求，明确地块位置、使用性质、开发强度等内容。用地规划条件中明确配建社区养老服务设施的要求，不得随意调整。</w:t>
      </w:r>
    </w:p>
    <w:p w:rsidR="00BA10D0" w:rsidRDefault="00BA10D0" w:rsidP="00BA10D0">
      <w:pPr>
        <w:spacing w:line="600" w:lineRule="exact"/>
        <w:ind w:firstLineChars="200" w:firstLine="640"/>
        <w:rPr>
          <w:rFonts w:ascii="仿宋_GB2312" w:eastAsia="仿宋_GB2312"/>
          <w:sz w:val="32"/>
          <w:szCs w:val="32"/>
        </w:rPr>
      </w:pPr>
      <w:r>
        <w:rPr>
          <w:rFonts w:ascii="黑体" w:eastAsia="黑体" w:hAnsi="黑体" w:hint="eastAsia"/>
          <w:sz w:val="32"/>
          <w:szCs w:val="32"/>
        </w:rPr>
        <w:t>第</w:t>
      </w:r>
      <w:r w:rsidR="00DD14EF">
        <w:rPr>
          <w:rFonts w:ascii="黑体" w:eastAsia="黑体" w:hAnsi="黑体" w:hint="eastAsia"/>
          <w:sz w:val="32"/>
          <w:szCs w:val="32"/>
        </w:rPr>
        <w:t>六</w:t>
      </w:r>
      <w:r>
        <w:rPr>
          <w:rFonts w:ascii="黑体" w:eastAsia="黑体" w:hAnsi="黑体" w:hint="eastAsia"/>
          <w:sz w:val="32"/>
          <w:szCs w:val="32"/>
        </w:rPr>
        <w:t>条</w:t>
      </w:r>
      <w:r>
        <w:rPr>
          <w:rFonts w:ascii="仿宋_GB2312" w:eastAsia="仿宋_GB2312" w:hint="eastAsia"/>
          <w:sz w:val="32"/>
          <w:szCs w:val="32"/>
        </w:rPr>
        <w:t xml:space="preserve"> 设区的市、县（市）自然资源部门在拟定国有建设用地使用权出让方案时，应当将社区养老服务设施配建规模、设计标准等作为建设条件纳入出让方案，并在《国有建设用地使用权出让合同》中明确约定配建社区养老服务设施的范围、标准及建成后无偿移交等内容。</w:t>
      </w:r>
    </w:p>
    <w:p w:rsidR="00BA10D0" w:rsidRDefault="00BA10D0" w:rsidP="00BA10D0">
      <w:pPr>
        <w:spacing w:line="600" w:lineRule="exact"/>
        <w:ind w:firstLineChars="200" w:firstLine="640"/>
        <w:rPr>
          <w:rFonts w:ascii="仿宋_GB2312" w:eastAsia="仿宋_GB2312"/>
          <w:sz w:val="32"/>
          <w:szCs w:val="32"/>
        </w:rPr>
      </w:pPr>
      <w:r>
        <w:rPr>
          <w:rFonts w:ascii="黑体" w:eastAsia="黑体" w:hAnsi="黑体" w:hint="eastAsia"/>
          <w:sz w:val="32"/>
          <w:szCs w:val="32"/>
        </w:rPr>
        <w:lastRenderedPageBreak/>
        <w:t>第</w:t>
      </w:r>
      <w:r w:rsidR="00DD14EF">
        <w:rPr>
          <w:rFonts w:ascii="黑体" w:eastAsia="黑体" w:hAnsi="黑体" w:hint="eastAsia"/>
          <w:sz w:val="32"/>
          <w:szCs w:val="32"/>
        </w:rPr>
        <w:t>七</w:t>
      </w:r>
      <w:r>
        <w:rPr>
          <w:rFonts w:ascii="黑体" w:eastAsia="黑体" w:hAnsi="黑体" w:hint="eastAsia"/>
          <w:sz w:val="32"/>
          <w:szCs w:val="32"/>
        </w:rPr>
        <w:t>条</w:t>
      </w:r>
      <w:r>
        <w:rPr>
          <w:rFonts w:ascii="仿宋_GB2312" w:eastAsia="仿宋_GB2312" w:hint="eastAsia"/>
          <w:sz w:val="32"/>
          <w:szCs w:val="32"/>
        </w:rPr>
        <w:t xml:space="preserve"> 列入用地规划并纳入土地供应前提条件配建、</w:t>
      </w:r>
      <w:r w:rsidRPr="00BA10D0">
        <w:rPr>
          <w:rFonts w:ascii="仿宋_GB2312" w:eastAsia="仿宋_GB2312" w:hint="eastAsia"/>
          <w:sz w:val="32"/>
          <w:szCs w:val="32"/>
        </w:rPr>
        <w:t>在土地使用权出让合同中约定建成后无偿移交</w:t>
      </w:r>
      <w:r>
        <w:rPr>
          <w:rFonts w:ascii="仿宋_GB2312" w:eastAsia="仿宋_GB2312" w:hint="eastAsia"/>
          <w:sz w:val="32"/>
          <w:szCs w:val="32"/>
        </w:rPr>
        <w:t>的社区养老服务设施，产权归政府所有，县（市、区）民政部门作为业务主管部门，依法履行监督管理职责。县级民政部门可结合工作实际，委托街道办事处或乡镇人民政府负责日常管理等工作。</w:t>
      </w:r>
    </w:p>
    <w:p w:rsidR="00BA10D0" w:rsidRDefault="00BA10D0" w:rsidP="00BA10D0">
      <w:pPr>
        <w:spacing w:line="600" w:lineRule="exact"/>
        <w:ind w:firstLine="675"/>
        <w:rPr>
          <w:rFonts w:ascii="仿宋_GB2312" w:eastAsia="仿宋_GB2312"/>
          <w:sz w:val="32"/>
          <w:szCs w:val="32"/>
        </w:rPr>
      </w:pPr>
      <w:r>
        <w:rPr>
          <w:rFonts w:ascii="黑体" w:eastAsia="黑体" w:hAnsi="黑体" w:hint="eastAsia"/>
          <w:sz w:val="32"/>
          <w:szCs w:val="32"/>
        </w:rPr>
        <w:t>第</w:t>
      </w:r>
      <w:r w:rsidR="00DD14EF">
        <w:rPr>
          <w:rFonts w:ascii="黑体" w:eastAsia="黑体" w:hAnsi="黑体" w:hint="eastAsia"/>
          <w:sz w:val="32"/>
          <w:szCs w:val="32"/>
        </w:rPr>
        <w:t>八</w:t>
      </w:r>
      <w:r>
        <w:rPr>
          <w:rFonts w:ascii="黑体" w:eastAsia="黑体" w:hAnsi="黑体" w:hint="eastAsia"/>
          <w:sz w:val="32"/>
          <w:szCs w:val="32"/>
        </w:rPr>
        <w:t>条</w:t>
      </w:r>
      <w:r>
        <w:rPr>
          <w:rFonts w:ascii="仿宋_GB2312" w:eastAsia="仿宋_GB2312" w:hint="eastAsia"/>
          <w:sz w:val="32"/>
          <w:szCs w:val="32"/>
        </w:rPr>
        <w:t xml:space="preserve"> 设区的市、县（市）住房城乡建设部门应当会同民政、自然资源等部门，在房地产开发项目建设条件意见书中明确社区养老服务设施的建设标准、投资来源、产权归属、完成时限、移交方式等内容。</w:t>
      </w:r>
    </w:p>
    <w:p w:rsidR="00BA10D0" w:rsidRDefault="00BA10D0" w:rsidP="00BA10D0">
      <w:pPr>
        <w:spacing w:line="600" w:lineRule="exact"/>
        <w:ind w:firstLine="675"/>
        <w:rPr>
          <w:rFonts w:ascii="仿宋_GB2312" w:eastAsia="仿宋_GB2312" w:hAnsi="黑体"/>
          <w:sz w:val="32"/>
          <w:szCs w:val="32"/>
        </w:rPr>
      </w:pPr>
      <w:r>
        <w:rPr>
          <w:rFonts w:ascii="黑体" w:eastAsia="黑体" w:hAnsi="黑体" w:hint="eastAsia"/>
          <w:sz w:val="32"/>
          <w:szCs w:val="32"/>
        </w:rPr>
        <w:t>第</w:t>
      </w:r>
      <w:r w:rsidR="00DD14EF">
        <w:rPr>
          <w:rFonts w:ascii="黑体" w:eastAsia="黑体" w:hAnsi="黑体" w:hint="eastAsia"/>
          <w:sz w:val="32"/>
          <w:szCs w:val="32"/>
        </w:rPr>
        <w:t>九</w:t>
      </w:r>
      <w:r>
        <w:rPr>
          <w:rFonts w:ascii="黑体" w:eastAsia="黑体" w:hAnsi="黑体" w:hint="eastAsia"/>
          <w:sz w:val="32"/>
          <w:szCs w:val="32"/>
        </w:rPr>
        <w:t xml:space="preserve">条 </w:t>
      </w:r>
      <w:r>
        <w:rPr>
          <w:rFonts w:ascii="仿宋_GB2312" w:eastAsia="仿宋_GB2312" w:hAnsi="黑体" w:hint="eastAsia"/>
          <w:sz w:val="32"/>
          <w:szCs w:val="32"/>
        </w:rPr>
        <w:t>国有建设用地使用权竞得人在签订《国有建设用地使用权出让合同》时，应当按照约定与县级民政部门签订新建居住区社区养老设施配建协议，具体样式由各市统一制定。</w:t>
      </w:r>
    </w:p>
    <w:p w:rsidR="00BA10D0" w:rsidRDefault="00BA10D0" w:rsidP="00BA10D0">
      <w:pPr>
        <w:spacing w:line="600" w:lineRule="exact"/>
        <w:ind w:firstLine="675"/>
        <w:rPr>
          <w:rFonts w:ascii="仿宋_GB2312" w:eastAsia="仿宋_GB2312"/>
          <w:sz w:val="32"/>
          <w:szCs w:val="32"/>
        </w:rPr>
      </w:pPr>
      <w:r>
        <w:rPr>
          <w:rFonts w:ascii="黑体" w:eastAsia="黑体" w:hAnsi="黑体" w:hint="eastAsia"/>
          <w:sz w:val="32"/>
          <w:szCs w:val="32"/>
        </w:rPr>
        <w:t xml:space="preserve">第十条 </w:t>
      </w:r>
      <w:r>
        <w:rPr>
          <w:rFonts w:ascii="仿宋_GB2312" w:eastAsia="仿宋_GB2312" w:hint="eastAsia"/>
          <w:sz w:val="32"/>
          <w:szCs w:val="32"/>
        </w:rPr>
        <w:t>建设单位在编制新建居住区修建性详细规划、建设工程设计方案时，必须同步落实规划条件中关于配建社区养老服务设施的要求。</w:t>
      </w:r>
    </w:p>
    <w:p w:rsidR="00BA10D0" w:rsidRDefault="00BA10D0" w:rsidP="00BA10D0">
      <w:pPr>
        <w:spacing w:line="600" w:lineRule="exact"/>
        <w:ind w:firstLineChars="200" w:firstLine="640"/>
        <w:rPr>
          <w:rFonts w:ascii="仿宋_GB2312" w:eastAsia="仿宋_GB2312"/>
          <w:sz w:val="32"/>
          <w:szCs w:val="32"/>
        </w:rPr>
      </w:pPr>
      <w:r>
        <w:rPr>
          <w:rFonts w:ascii="黑体" w:eastAsia="黑体" w:hAnsi="黑体" w:hint="eastAsia"/>
          <w:sz w:val="32"/>
          <w:szCs w:val="32"/>
        </w:rPr>
        <w:t>第十</w:t>
      </w:r>
      <w:r w:rsidR="00E905CD">
        <w:rPr>
          <w:rFonts w:ascii="黑体" w:eastAsia="黑体" w:hAnsi="黑体" w:hint="eastAsia"/>
          <w:sz w:val="32"/>
          <w:szCs w:val="32"/>
        </w:rPr>
        <w:t>一</w:t>
      </w:r>
      <w:r>
        <w:rPr>
          <w:rFonts w:ascii="黑体" w:eastAsia="黑体" w:hAnsi="黑体" w:hint="eastAsia"/>
          <w:sz w:val="32"/>
          <w:szCs w:val="32"/>
        </w:rPr>
        <w:t>条</w:t>
      </w:r>
      <w:r>
        <w:rPr>
          <w:rFonts w:ascii="仿宋_GB2312" w:eastAsia="仿宋_GB2312" w:hint="eastAsia"/>
          <w:color w:val="FF0000"/>
          <w:sz w:val="32"/>
          <w:szCs w:val="32"/>
        </w:rPr>
        <w:t xml:space="preserve"> </w:t>
      </w:r>
      <w:r>
        <w:rPr>
          <w:rFonts w:ascii="仿宋_GB2312" w:eastAsia="仿宋_GB2312" w:hint="eastAsia"/>
          <w:sz w:val="32"/>
          <w:szCs w:val="32"/>
        </w:rPr>
        <w:t>设区的市、县（市）自然资源部门在审查新建居住区修建性详细规划、建设工程设计方案时，应核实规划设计的社区养老服务设施是否符合规划条件，并通知民政部门参与并联审查。</w:t>
      </w:r>
    </w:p>
    <w:p w:rsidR="00BA10D0" w:rsidRDefault="00BA10D0" w:rsidP="00BA10D0">
      <w:pPr>
        <w:spacing w:line="600" w:lineRule="exact"/>
        <w:ind w:firstLineChars="200" w:firstLine="640"/>
        <w:rPr>
          <w:rFonts w:ascii="仿宋_GB2312" w:eastAsia="仿宋_GB2312"/>
          <w:sz w:val="32"/>
          <w:szCs w:val="32"/>
        </w:rPr>
      </w:pPr>
      <w:r>
        <w:rPr>
          <w:rFonts w:ascii="仿宋_GB2312" w:eastAsia="仿宋_GB2312" w:hint="eastAsia"/>
          <w:sz w:val="32"/>
          <w:szCs w:val="32"/>
        </w:rPr>
        <w:t>因特殊情况需要在新建居住区修建性详细规划、建设工程设计方案中调整配建社区养老服务设施的，设区的市、县</w:t>
      </w:r>
      <w:r>
        <w:rPr>
          <w:rFonts w:ascii="仿宋_GB2312" w:eastAsia="仿宋_GB2312" w:hint="eastAsia"/>
          <w:sz w:val="32"/>
          <w:szCs w:val="32"/>
        </w:rPr>
        <w:lastRenderedPageBreak/>
        <w:t>（市）自然资源部门应通知民政部门参与变更审查。未经审查同意，建设单位不得擅自变更规划许可内容。</w:t>
      </w:r>
    </w:p>
    <w:p w:rsidR="00DD14EF" w:rsidRDefault="00DD14EF" w:rsidP="00DD14EF">
      <w:pPr>
        <w:spacing w:line="600" w:lineRule="exact"/>
        <w:ind w:firstLineChars="200" w:firstLine="640"/>
        <w:rPr>
          <w:rFonts w:ascii="仿宋_GB2312" w:eastAsia="仿宋_GB2312"/>
          <w:sz w:val="32"/>
          <w:szCs w:val="32"/>
        </w:rPr>
      </w:pPr>
      <w:r>
        <w:rPr>
          <w:rFonts w:ascii="黑体" w:eastAsia="黑体" w:hAnsi="黑体" w:hint="eastAsia"/>
          <w:sz w:val="32"/>
          <w:szCs w:val="32"/>
        </w:rPr>
        <w:t>第十</w:t>
      </w:r>
      <w:r w:rsidR="00E905CD">
        <w:rPr>
          <w:rFonts w:ascii="黑体" w:eastAsia="黑体" w:hAnsi="黑体" w:hint="eastAsia"/>
          <w:sz w:val="32"/>
          <w:szCs w:val="32"/>
        </w:rPr>
        <w:t>二</w:t>
      </w:r>
      <w:r>
        <w:rPr>
          <w:rFonts w:ascii="黑体" w:eastAsia="黑体" w:hAnsi="黑体" w:hint="eastAsia"/>
          <w:sz w:val="32"/>
          <w:szCs w:val="32"/>
        </w:rPr>
        <w:t xml:space="preserve">条 </w:t>
      </w:r>
      <w:r>
        <w:rPr>
          <w:rFonts w:ascii="仿宋_GB2312" w:eastAsia="仿宋_GB2312" w:hint="eastAsia"/>
          <w:sz w:val="32"/>
          <w:szCs w:val="32"/>
        </w:rPr>
        <w:t>配建社区养老服务设施应当按照《老年人照料设施建筑设计标准》(JGJ450-2018)、《建筑设计防火规范》（GB50016-2014（2018年版））、《社区老年人日间照料中心建设标准》(建标143-2010)、《无障碍设计规范》(GB50763-2012)等标准规范的要求进行设计和建设。</w:t>
      </w:r>
    </w:p>
    <w:p w:rsidR="00DD14EF" w:rsidRDefault="00DD14EF" w:rsidP="00DD14EF">
      <w:pPr>
        <w:spacing w:line="600" w:lineRule="exact"/>
        <w:ind w:firstLine="675"/>
        <w:rPr>
          <w:rFonts w:ascii="仿宋_GB2312" w:eastAsia="仿宋_GB2312"/>
          <w:sz w:val="32"/>
          <w:szCs w:val="32"/>
        </w:rPr>
      </w:pPr>
      <w:r>
        <w:rPr>
          <w:rFonts w:ascii="仿宋_GB2312" w:eastAsia="仿宋_GB2312" w:hint="eastAsia"/>
          <w:sz w:val="32"/>
          <w:szCs w:val="32"/>
        </w:rPr>
        <w:t>1.对单独选址的养老服务设施项目，应选择市政设施条件较好、位置适中、区域相对独立、通风和采光条件较好、方便老年人及居民出入、便于服务辖区老年人的地段，宜靠近广场、公园、绿地等公共活动空间。</w:t>
      </w:r>
    </w:p>
    <w:p w:rsidR="00DD14EF" w:rsidRDefault="00DD14EF" w:rsidP="00DD14EF">
      <w:pPr>
        <w:spacing w:line="600" w:lineRule="exact"/>
        <w:ind w:firstLine="675"/>
        <w:rPr>
          <w:rFonts w:ascii="仿宋_GB2312" w:eastAsia="仿宋_GB2312"/>
          <w:sz w:val="32"/>
          <w:szCs w:val="32"/>
        </w:rPr>
      </w:pPr>
      <w:r>
        <w:rPr>
          <w:rFonts w:ascii="仿宋_GB2312" w:eastAsia="仿宋_GB2312" w:hint="eastAsia"/>
          <w:sz w:val="32"/>
          <w:szCs w:val="32"/>
        </w:rPr>
        <w:t>2.宜与社区卫生、文化、教育、体育健身、康复中心、物业管理、幼儿托管等基本公共服务设施统筹规划，相对集中设置。要根据各类用房和设施的使用功能要求，做到流线清晰、服务方便，周边环境美化。</w:t>
      </w:r>
    </w:p>
    <w:p w:rsidR="00DD14EF" w:rsidRDefault="00DD14EF" w:rsidP="00DD14EF">
      <w:pPr>
        <w:spacing w:line="600" w:lineRule="exact"/>
        <w:ind w:firstLine="675"/>
        <w:rPr>
          <w:rFonts w:ascii="仿宋_GB2312" w:eastAsia="仿宋_GB2312"/>
          <w:sz w:val="32"/>
          <w:szCs w:val="32"/>
        </w:rPr>
      </w:pPr>
      <w:r>
        <w:rPr>
          <w:rFonts w:ascii="仿宋_GB2312" w:eastAsia="仿宋_GB2312" w:hint="eastAsia"/>
          <w:sz w:val="32"/>
          <w:szCs w:val="32"/>
        </w:rPr>
        <w:t>3.应安排在建筑的低层，主要出入口可单独设置；安排在建筑的二层（含二层）以上的应设置无障碍电梯；不得安排在建筑的地下层、半地下层和夹层；应配建无障碍设施。</w:t>
      </w:r>
    </w:p>
    <w:p w:rsidR="00DD14EF" w:rsidRDefault="00DD14EF" w:rsidP="00DD14EF">
      <w:pPr>
        <w:spacing w:line="600" w:lineRule="exact"/>
        <w:ind w:firstLine="675"/>
        <w:rPr>
          <w:rFonts w:ascii="仿宋_GB2312" w:eastAsia="仿宋_GB2312"/>
          <w:sz w:val="32"/>
          <w:szCs w:val="32"/>
        </w:rPr>
      </w:pPr>
      <w:r>
        <w:rPr>
          <w:rFonts w:ascii="仿宋_GB2312" w:eastAsia="仿宋_GB2312" w:hint="eastAsia"/>
          <w:sz w:val="32"/>
          <w:szCs w:val="32"/>
        </w:rPr>
        <w:t>4.应与污染源、噪声源及危险品生产、储存等区域保持合理间距，确保设施环境安全。</w:t>
      </w:r>
    </w:p>
    <w:p w:rsidR="00DD14EF" w:rsidRDefault="00DD14EF" w:rsidP="00DD14EF">
      <w:pPr>
        <w:spacing w:line="600" w:lineRule="exact"/>
        <w:ind w:firstLineChars="200" w:firstLine="640"/>
        <w:rPr>
          <w:rFonts w:ascii="仿宋_GB2312" w:eastAsia="仿宋_GB2312"/>
          <w:sz w:val="32"/>
          <w:szCs w:val="32"/>
        </w:rPr>
      </w:pPr>
      <w:r>
        <w:rPr>
          <w:rFonts w:ascii="仿宋_GB2312" w:eastAsia="仿宋_GB2312" w:hint="eastAsia"/>
          <w:sz w:val="32"/>
          <w:szCs w:val="32"/>
        </w:rPr>
        <w:t>5.出入口前的道路设计应便于人车分流的组织管理，并应满足消防、疏散及救护等要求，主要功能用房应建设在日照充足、通风良好的位置，并满足有关规范规定的日照时数</w:t>
      </w:r>
      <w:r>
        <w:rPr>
          <w:rFonts w:ascii="仿宋_GB2312" w:eastAsia="仿宋_GB2312" w:hint="eastAsia"/>
          <w:sz w:val="32"/>
          <w:szCs w:val="32"/>
        </w:rPr>
        <w:lastRenderedPageBreak/>
        <w:t>要求。</w:t>
      </w:r>
    </w:p>
    <w:p w:rsidR="00BA10D0" w:rsidRDefault="00BA10D0" w:rsidP="00BA10D0">
      <w:pPr>
        <w:spacing w:line="600" w:lineRule="exact"/>
        <w:rPr>
          <w:rFonts w:ascii="黑体" w:eastAsia="黑体" w:hAnsi="黑体"/>
          <w:sz w:val="32"/>
          <w:szCs w:val="32"/>
        </w:rPr>
      </w:pPr>
    </w:p>
    <w:p w:rsidR="00BA10D0" w:rsidRDefault="00BA10D0" w:rsidP="00BA10D0">
      <w:pPr>
        <w:spacing w:line="600" w:lineRule="exact"/>
        <w:jc w:val="center"/>
        <w:rPr>
          <w:rFonts w:ascii="黑体" w:eastAsia="黑体" w:hAnsi="黑体"/>
          <w:sz w:val="32"/>
          <w:szCs w:val="32"/>
        </w:rPr>
      </w:pPr>
      <w:r>
        <w:rPr>
          <w:rFonts w:ascii="黑体" w:eastAsia="黑体" w:hAnsi="黑体" w:hint="eastAsia"/>
          <w:sz w:val="32"/>
          <w:szCs w:val="32"/>
        </w:rPr>
        <w:t>第三章  建设验收</w:t>
      </w:r>
    </w:p>
    <w:p w:rsidR="00BA10D0" w:rsidRDefault="00BA10D0" w:rsidP="00BA10D0">
      <w:pPr>
        <w:spacing w:line="600" w:lineRule="exact"/>
        <w:jc w:val="center"/>
        <w:rPr>
          <w:rFonts w:ascii="黑体" w:eastAsia="黑体" w:hAnsi="黑体"/>
          <w:sz w:val="32"/>
          <w:szCs w:val="32"/>
        </w:rPr>
      </w:pPr>
      <w:r>
        <w:rPr>
          <w:rFonts w:ascii="黑体" w:eastAsia="黑体" w:hAnsi="黑体" w:hint="eastAsia"/>
          <w:sz w:val="32"/>
          <w:szCs w:val="32"/>
        </w:rPr>
        <w:t xml:space="preserve"> </w:t>
      </w:r>
    </w:p>
    <w:p w:rsidR="00BA10D0" w:rsidRDefault="00BA10D0" w:rsidP="00BA10D0">
      <w:pPr>
        <w:spacing w:line="600" w:lineRule="exact"/>
        <w:ind w:firstLine="675"/>
        <w:rPr>
          <w:rFonts w:ascii="仿宋_GB2312" w:eastAsia="仿宋_GB2312"/>
          <w:sz w:val="32"/>
          <w:szCs w:val="32"/>
        </w:rPr>
      </w:pPr>
      <w:r>
        <w:rPr>
          <w:rFonts w:ascii="黑体" w:eastAsia="黑体" w:hAnsi="黑体" w:hint="eastAsia"/>
          <w:sz w:val="32"/>
          <w:szCs w:val="32"/>
        </w:rPr>
        <w:t xml:space="preserve">第十三条 </w:t>
      </w:r>
      <w:r>
        <w:rPr>
          <w:rFonts w:ascii="仿宋_GB2312" w:eastAsia="仿宋_GB2312" w:hint="eastAsia"/>
          <w:sz w:val="32"/>
          <w:szCs w:val="32"/>
        </w:rPr>
        <w:t>社区养老服务设施应当达到简单装修、入住即可使用的标准，墙体四白落地，平整水泥地面，门窗和厕所完善，水、电、气、暖设施齐全。</w:t>
      </w:r>
    </w:p>
    <w:p w:rsidR="00BA10D0" w:rsidRDefault="00BA10D0" w:rsidP="00BA10D0">
      <w:pPr>
        <w:spacing w:line="600" w:lineRule="exact"/>
        <w:ind w:firstLine="675"/>
        <w:rPr>
          <w:rFonts w:ascii="仿宋_GB2312" w:eastAsia="仿宋_GB2312"/>
          <w:sz w:val="32"/>
          <w:szCs w:val="32"/>
        </w:rPr>
      </w:pPr>
      <w:r>
        <w:rPr>
          <w:rFonts w:ascii="黑体" w:eastAsia="黑体" w:hAnsi="黑体" w:hint="eastAsia"/>
          <w:sz w:val="32"/>
          <w:szCs w:val="32"/>
        </w:rPr>
        <w:t>第十四条</w:t>
      </w:r>
      <w:r>
        <w:rPr>
          <w:rFonts w:ascii="仿宋_GB2312" w:eastAsia="仿宋_GB2312" w:hint="eastAsia"/>
          <w:sz w:val="32"/>
          <w:szCs w:val="32"/>
        </w:rPr>
        <w:t xml:space="preserve"> 设区的市、县（市）住房城乡建设部门要加强对社区养老服务设施建设施工的指导和管理，确保工程质量安全。</w:t>
      </w:r>
    </w:p>
    <w:p w:rsidR="00BA10D0" w:rsidRDefault="00BA10D0" w:rsidP="00BA10D0">
      <w:pPr>
        <w:spacing w:line="600" w:lineRule="exact"/>
        <w:ind w:firstLine="675"/>
        <w:rPr>
          <w:rFonts w:ascii="仿宋_GB2312" w:eastAsia="仿宋_GB2312"/>
          <w:sz w:val="32"/>
          <w:szCs w:val="32"/>
        </w:rPr>
      </w:pPr>
      <w:r>
        <w:rPr>
          <w:rFonts w:ascii="黑体" w:eastAsia="黑体" w:hAnsi="黑体" w:hint="eastAsia"/>
          <w:sz w:val="32"/>
          <w:szCs w:val="32"/>
        </w:rPr>
        <w:t>第十五条</w:t>
      </w:r>
      <w:r>
        <w:rPr>
          <w:rFonts w:ascii="仿宋_GB2312" w:eastAsia="仿宋_GB2312" w:hint="eastAsia"/>
          <w:sz w:val="32"/>
          <w:szCs w:val="32"/>
        </w:rPr>
        <w:t xml:space="preserve"> 设区的市、县（市）自然资源部门应当对社区养老服务设施建设是否符合规划条件进行核实。未经规划核实或经核实不符合规划条件的，不予核发建设工程竣工规划核实认可文件。</w:t>
      </w:r>
    </w:p>
    <w:p w:rsidR="00BA10D0" w:rsidRDefault="00BA10D0" w:rsidP="00BA10D0">
      <w:pPr>
        <w:spacing w:line="600" w:lineRule="exact"/>
        <w:ind w:firstLine="675"/>
        <w:rPr>
          <w:rFonts w:ascii="仿宋_GB2312" w:eastAsia="仿宋_GB2312"/>
          <w:sz w:val="32"/>
          <w:szCs w:val="32"/>
        </w:rPr>
      </w:pPr>
      <w:r>
        <w:rPr>
          <w:rFonts w:ascii="黑体" w:eastAsia="黑体" w:hAnsi="黑体" w:hint="eastAsia"/>
          <w:sz w:val="32"/>
          <w:szCs w:val="32"/>
        </w:rPr>
        <w:t>第十六条</w:t>
      </w:r>
      <w:r>
        <w:rPr>
          <w:rFonts w:ascii="仿宋_GB2312" w:eastAsia="仿宋_GB2312" w:hint="eastAsia"/>
          <w:sz w:val="32"/>
          <w:szCs w:val="32"/>
        </w:rPr>
        <w:t xml:space="preserve"> 房地产测绘机构</w:t>
      </w:r>
      <w:r w:rsidRPr="00BA10D0">
        <w:rPr>
          <w:rFonts w:ascii="仿宋_GB2312" w:eastAsia="仿宋_GB2312" w:hint="eastAsia"/>
          <w:sz w:val="32"/>
          <w:szCs w:val="32"/>
        </w:rPr>
        <w:t>进行建筑面积预测、实测时，</w:t>
      </w:r>
      <w:r>
        <w:rPr>
          <w:rFonts w:ascii="仿宋_GB2312" w:eastAsia="仿宋_GB2312" w:hint="eastAsia"/>
          <w:sz w:val="32"/>
          <w:szCs w:val="32"/>
        </w:rPr>
        <w:t>应当对社区养老服务设施用房</w:t>
      </w:r>
      <w:r w:rsidRPr="00BA10D0">
        <w:rPr>
          <w:rFonts w:ascii="仿宋_GB2312" w:eastAsia="仿宋_GB2312" w:hint="eastAsia"/>
          <w:sz w:val="32"/>
          <w:szCs w:val="32"/>
        </w:rPr>
        <w:t>单独列项</w:t>
      </w:r>
      <w:r>
        <w:rPr>
          <w:rFonts w:ascii="仿宋_GB2312" w:eastAsia="仿宋_GB2312" w:hint="eastAsia"/>
          <w:sz w:val="32"/>
          <w:szCs w:val="32"/>
        </w:rPr>
        <w:t>、计算面积，其面积不计入分摊的共用建筑面积。</w:t>
      </w:r>
    </w:p>
    <w:p w:rsidR="00BA10D0" w:rsidRDefault="00BA10D0" w:rsidP="00BA10D0">
      <w:pPr>
        <w:spacing w:line="600" w:lineRule="exact"/>
        <w:ind w:firstLine="675"/>
        <w:rPr>
          <w:rFonts w:ascii="仿宋_GB2312" w:eastAsia="仿宋_GB2312"/>
          <w:sz w:val="32"/>
          <w:szCs w:val="32"/>
          <w:highlight w:val="yellow"/>
        </w:rPr>
      </w:pPr>
      <w:r>
        <w:rPr>
          <w:rFonts w:ascii="黑体" w:eastAsia="黑体" w:hAnsi="黑体" w:hint="eastAsia"/>
          <w:sz w:val="32"/>
          <w:szCs w:val="32"/>
        </w:rPr>
        <w:t xml:space="preserve">第十七条  </w:t>
      </w:r>
      <w:r>
        <w:rPr>
          <w:rFonts w:ascii="仿宋_GB2312" w:eastAsia="仿宋_GB2312" w:hint="eastAsia"/>
          <w:sz w:val="32"/>
          <w:szCs w:val="32"/>
        </w:rPr>
        <w:t>竣工验收阶段，建设单位应将配建社区养老服务设施纳入项目竣工验收范围，</w:t>
      </w:r>
      <w:r w:rsidRPr="00BA10D0">
        <w:rPr>
          <w:rFonts w:ascii="仿宋_GB2312" w:eastAsia="仿宋_GB2312" w:hint="eastAsia"/>
          <w:sz w:val="32"/>
          <w:szCs w:val="32"/>
        </w:rPr>
        <w:t>向联合验收牵头部门建议</w:t>
      </w:r>
      <w:r>
        <w:rPr>
          <w:rFonts w:ascii="仿宋_GB2312" w:eastAsia="仿宋_GB2312" w:hint="eastAsia"/>
          <w:sz w:val="32"/>
          <w:szCs w:val="32"/>
        </w:rPr>
        <w:t>邀请民政部门参与联合验收。</w:t>
      </w:r>
      <w:r w:rsidRPr="00BA10D0">
        <w:rPr>
          <w:rFonts w:ascii="仿宋_GB2312" w:eastAsia="仿宋_GB2312" w:hint="eastAsia"/>
          <w:sz w:val="32"/>
          <w:szCs w:val="32"/>
        </w:rPr>
        <w:t>配建社区养老服务设施</w:t>
      </w:r>
      <w:r>
        <w:rPr>
          <w:rFonts w:ascii="仿宋_GB2312" w:eastAsia="仿宋_GB2312" w:hint="eastAsia"/>
          <w:sz w:val="32"/>
          <w:szCs w:val="32"/>
        </w:rPr>
        <w:t>验收不合格的，</w:t>
      </w:r>
      <w:r w:rsidRPr="00BA10D0">
        <w:rPr>
          <w:rFonts w:ascii="仿宋_GB2312" w:eastAsia="仿宋_GB2312" w:hint="eastAsia"/>
          <w:sz w:val="32"/>
          <w:szCs w:val="32"/>
        </w:rPr>
        <w:t>民政部门会同有关部门提出具体整改意见，建设单位整改完成后提交复验申请，相关验收部门再行验收。房地产开发项目配建养老服务设施未通过验收的，不予办理竣工</w:t>
      </w:r>
      <w:r w:rsidRPr="00BA10D0">
        <w:rPr>
          <w:rFonts w:ascii="仿宋_GB2312" w:eastAsia="仿宋_GB2312" w:hint="eastAsia"/>
          <w:sz w:val="32"/>
          <w:szCs w:val="32"/>
        </w:rPr>
        <w:lastRenderedPageBreak/>
        <w:t>综合验收备案。非建设单位原因导致不能及时移交的配建社区养老服务设施，房地产开发项目竣工综合验收备案时可以容缺</w:t>
      </w:r>
      <w:r>
        <w:rPr>
          <w:rFonts w:ascii="仿宋_GB2312" w:eastAsia="仿宋_GB2312" w:hint="eastAsia"/>
          <w:sz w:val="32"/>
          <w:szCs w:val="32"/>
        </w:rPr>
        <w:t>。</w:t>
      </w:r>
    </w:p>
    <w:p w:rsidR="00BA10D0" w:rsidRDefault="00BA10D0" w:rsidP="00BA10D0">
      <w:pPr>
        <w:pStyle w:val="a3"/>
        <w:spacing w:before="0" w:beforeAutospacing="0" w:after="0" w:afterAutospacing="0" w:line="600" w:lineRule="exact"/>
        <w:jc w:val="center"/>
        <w:rPr>
          <w:rStyle w:val="15"/>
          <w:rFonts w:ascii="黑体" w:eastAsia="黑体" w:hAnsi="黑体" w:cs="宋体"/>
          <w:b w:val="0"/>
        </w:rPr>
      </w:pPr>
      <w:r>
        <w:rPr>
          <w:rStyle w:val="15"/>
          <w:rFonts w:ascii="黑体" w:eastAsia="黑体" w:hAnsi="黑体" w:hint="eastAsia"/>
          <w:b w:val="0"/>
          <w:sz w:val="32"/>
          <w:szCs w:val="32"/>
        </w:rPr>
        <w:t>第四章</w:t>
      </w:r>
      <w:r>
        <w:rPr>
          <w:rStyle w:val="15"/>
          <w:rFonts w:ascii="Cambria" w:eastAsia="黑体" w:hAnsi="Cambria"/>
          <w:b w:val="0"/>
          <w:sz w:val="32"/>
          <w:szCs w:val="32"/>
        </w:rPr>
        <w:t xml:space="preserve"> </w:t>
      </w:r>
      <w:r>
        <w:rPr>
          <w:rStyle w:val="15"/>
          <w:rFonts w:ascii="黑体" w:eastAsia="黑体" w:hAnsi="黑体" w:hint="eastAsia"/>
          <w:b w:val="0"/>
          <w:sz w:val="32"/>
          <w:szCs w:val="32"/>
        </w:rPr>
        <w:t xml:space="preserve">  移交使用</w:t>
      </w:r>
    </w:p>
    <w:p w:rsidR="00BA10D0" w:rsidRDefault="00BA10D0" w:rsidP="00BA10D0">
      <w:pPr>
        <w:pStyle w:val="a3"/>
        <w:spacing w:before="0" w:beforeAutospacing="0" w:after="0" w:afterAutospacing="0" w:line="600" w:lineRule="exact"/>
        <w:jc w:val="center"/>
        <w:rPr>
          <w:rFonts w:ascii="仿宋" w:eastAsia="仿宋" w:hAnsi="仿宋"/>
          <w:b/>
        </w:rPr>
      </w:pPr>
      <w:r>
        <w:rPr>
          <w:rFonts w:ascii="仿宋" w:eastAsia="仿宋" w:hAnsi="仿宋" w:hint="eastAsia"/>
          <w:b/>
          <w:sz w:val="32"/>
          <w:szCs w:val="32"/>
        </w:rPr>
        <w:t xml:space="preserve"> </w:t>
      </w:r>
    </w:p>
    <w:p w:rsidR="00BA10D0" w:rsidRDefault="00BA10D0" w:rsidP="00BA10D0">
      <w:pPr>
        <w:spacing w:line="600" w:lineRule="exact"/>
        <w:ind w:firstLine="675"/>
        <w:rPr>
          <w:rFonts w:ascii="仿宋_GB2312" w:eastAsia="仿宋_GB2312"/>
          <w:sz w:val="32"/>
          <w:szCs w:val="32"/>
        </w:rPr>
      </w:pPr>
      <w:r>
        <w:rPr>
          <w:rFonts w:ascii="黑体" w:eastAsia="黑体" w:hAnsi="黑体" w:hint="eastAsia"/>
          <w:sz w:val="32"/>
          <w:szCs w:val="32"/>
        </w:rPr>
        <w:t>第十八条</w:t>
      </w:r>
      <w:r>
        <w:rPr>
          <w:rFonts w:ascii="仿宋_GB2312" w:eastAsia="仿宋_GB2312" w:hint="eastAsia"/>
          <w:sz w:val="32"/>
          <w:szCs w:val="32"/>
        </w:rPr>
        <w:t xml:space="preserve"> 建设单位在申请办理房屋所有权初始登记时，应与县级民政部门或产权归属方持移交协议等相关材料，一并申请配建社区养老服务设施的不动产登记。</w:t>
      </w:r>
    </w:p>
    <w:p w:rsidR="00BA10D0" w:rsidRDefault="00BA10D0" w:rsidP="00BA10D0">
      <w:pPr>
        <w:spacing w:line="600" w:lineRule="exact"/>
        <w:ind w:firstLine="675"/>
        <w:rPr>
          <w:rFonts w:ascii="仿宋_GB2312" w:eastAsia="仿宋_GB2312"/>
          <w:sz w:val="32"/>
          <w:szCs w:val="32"/>
        </w:rPr>
      </w:pPr>
      <w:r>
        <w:rPr>
          <w:rFonts w:ascii="黑体" w:eastAsia="黑体" w:hAnsi="黑体" w:hint="eastAsia"/>
          <w:sz w:val="32"/>
          <w:szCs w:val="32"/>
        </w:rPr>
        <w:t>第十九条</w:t>
      </w:r>
      <w:r>
        <w:rPr>
          <w:rFonts w:ascii="仿宋_GB2312" w:eastAsia="仿宋_GB2312" w:hint="eastAsia"/>
          <w:sz w:val="32"/>
          <w:szCs w:val="32"/>
        </w:rPr>
        <w:t xml:space="preserve"> 自新建居住区项目竣工验收合格之日起三个月内，建设单位应当将社区养老服务设施及有关建设资料全部无偿移交所在地县级民政部门，并签订配建社区养老服务设施移交证明书。</w:t>
      </w:r>
    </w:p>
    <w:p w:rsidR="00BA10D0" w:rsidRDefault="00BA10D0" w:rsidP="00BA10D0">
      <w:pPr>
        <w:spacing w:line="600" w:lineRule="exact"/>
        <w:ind w:firstLine="675"/>
        <w:rPr>
          <w:rFonts w:ascii="仿宋_GB2312" w:eastAsia="仿宋_GB2312"/>
          <w:sz w:val="32"/>
          <w:szCs w:val="32"/>
        </w:rPr>
      </w:pPr>
      <w:r>
        <w:rPr>
          <w:rFonts w:ascii="黑体" w:eastAsia="黑体" w:hAnsi="黑体" w:hint="eastAsia"/>
          <w:sz w:val="32"/>
          <w:szCs w:val="32"/>
        </w:rPr>
        <w:t xml:space="preserve">第二十条 </w:t>
      </w:r>
      <w:r>
        <w:rPr>
          <w:rFonts w:ascii="仿宋_GB2312" w:eastAsia="仿宋_GB2312" w:hint="eastAsia"/>
          <w:sz w:val="32"/>
          <w:szCs w:val="32"/>
        </w:rPr>
        <w:t>县级民政部门应将接收的有关建设资料按照“一设施、一档案”要求，建立专门档案进行长期保存管理。</w:t>
      </w:r>
    </w:p>
    <w:p w:rsidR="00BA10D0" w:rsidRDefault="00BA10D0" w:rsidP="00BA10D0">
      <w:pPr>
        <w:spacing w:line="600" w:lineRule="exact"/>
        <w:ind w:firstLine="630"/>
        <w:rPr>
          <w:rFonts w:ascii="仿宋_GB2312" w:eastAsia="仿宋_GB2312"/>
          <w:sz w:val="32"/>
          <w:szCs w:val="32"/>
        </w:rPr>
      </w:pPr>
      <w:r>
        <w:rPr>
          <w:rFonts w:ascii="仿宋_GB2312" w:eastAsia="仿宋_GB2312" w:hint="eastAsia"/>
          <w:sz w:val="32"/>
          <w:szCs w:val="32"/>
        </w:rPr>
        <w:t xml:space="preserve"> </w:t>
      </w:r>
      <w:r>
        <w:rPr>
          <w:rFonts w:ascii="黑体" w:eastAsia="黑体" w:hAnsi="黑体" w:hint="eastAsia"/>
          <w:sz w:val="32"/>
          <w:szCs w:val="32"/>
        </w:rPr>
        <w:t>第二十一条</w:t>
      </w:r>
      <w:r>
        <w:rPr>
          <w:rFonts w:ascii="仿宋_GB2312" w:eastAsia="仿宋_GB2312" w:hint="eastAsia"/>
          <w:sz w:val="32"/>
          <w:szCs w:val="32"/>
        </w:rPr>
        <w:t xml:space="preserve"> 县级民政部门应当将社区养老服务设施统一登记造册，实施编号管理。</w:t>
      </w:r>
    </w:p>
    <w:p w:rsidR="00BA10D0" w:rsidRDefault="00BA10D0" w:rsidP="00BA10D0">
      <w:pPr>
        <w:spacing w:line="600" w:lineRule="exact"/>
        <w:ind w:firstLine="630"/>
        <w:rPr>
          <w:rFonts w:ascii="仿宋_GB2312" w:eastAsia="仿宋_GB2312"/>
          <w:sz w:val="32"/>
          <w:szCs w:val="32"/>
        </w:rPr>
      </w:pPr>
      <w:r>
        <w:rPr>
          <w:rFonts w:ascii="黑体" w:eastAsia="黑体" w:hAnsi="黑体" w:hint="eastAsia"/>
          <w:sz w:val="32"/>
          <w:szCs w:val="32"/>
        </w:rPr>
        <w:t>第二十二条</w:t>
      </w:r>
      <w:r>
        <w:rPr>
          <w:rFonts w:ascii="仿宋_GB2312" w:eastAsia="仿宋_GB2312" w:hint="eastAsia"/>
          <w:sz w:val="32"/>
          <w:szCs w:val="32"/>
        </w:rPr>
        <w:t xml:space="preserve"> 鼓励通过公开竞争、委托等方式，无偿或者低偿委托专业养老服务组织运营。</w:t>
      </w:r>
    </w:p>
    <w:p w:rsidR="00BA10D0" w:rsidRDefault="00BA10D0" w:rsidP="00BA10D0">
      <w:pPr>
        <w:spacing w:line="600" w:lineRule="exact"/>
        <w:ind w:firstLine="630"/>
        <w:rPr>
          <w:rFonts w:ascii="仿宋_GB2312" w:eastAsia="仿宋_GB2312"/>
          <w:sz w:val="32"/>
          <w:szCs w:val="32"/>
        </w:rPr>
      </w:pPr>
      <w:r>
        <w:rPr>
          <w:rFonts w:ascii="仿宋_GB2312" w:eastAsia="仿宋_GB2312" w:hint="eastAsia"/>
          <w:sz w:val="32"/>
          <w:szCs w:val="32"/>
        </w:rPr>
        <w:t>优先选择连锁化、品牌化的专业养老服务组织、物业服务企业作为运营方。</w:t>
      </w:r>
    </w:p>
    <w:p w:rsidR="00BA10D0" w:rsidRDefault="00BA10D0" w:rsidP="00BA10D0">
      <w:pPr>
        <w:pStyle w:val="a3"/>
        <w:spacing w:before="0" w:beforeAutospacing="0" w:after="0" w:afterAutospacing="0" w:line="600" w:lineRule="exact"/>
        <w:ind w:firstLine="645"/>
        <w:jc w:val="both"/>
        <w:rPr>
          <w:rFonts w:ascii="仿宋_GB2312" w:eastAsia="仿宋_GB2312"/>
          <w:sz w:val="32"/>
          <w:szCs w:val="32"/>
        </w:rPr>
      </w:pPr>
      <w:r>
        <w:rPr>
          <w:rFonts w:ascii="黑体" w:eastAsia="黑体" w:hAnsi="黑体" w:hint="eastAsia"/>
          <w:sz w:val="32"/>
          <w:szCs w:val="32"/>
        </w:rPr>
        <w:t>第二十三条</w:t>
      </w:r>
      <w:r>
        <w:rPr>
          <w:rFonts w:ascii="仿宋_GB2312" w:eastAsia="仿宋_GB2312" w:hint="eastAsia"/>
          <w:sz w:val="32"/>
          <w:szCs w:val="32"/>
        </w:rPr>
        <w:t xml:space="preserve"> 配建社区养老服务设施应当用于开展非营利性服务，优先保障辖区内特困、经济困难、高龄、失能老年人的养老服务需求。</w:t>
      </w:r>
    </w:p>
    <w:p w:rsidR="00BA10D0" w:rsidRDefault="00BA10D0" w:rsidP="00BA10D0">
      <w:pPr>
        <w:pStyle w:val="a3"/>
        <w:spacing w:before="0" w:beforeAutospacing="0" w:after="0" w:afterAutospacing="0" w:line="600" w:lineRule="exact"/>
        <w:ind w:firstLine="645"/>
        <w:jc w:val="both"/>
        <w:rPr>
          <w:rFonts w:ascii="仿宋_GB2312" w:eastAsia="仿宋_GB2312"/>
          <w:sz w:val="32"/>
          <w:szCs w:val="32"/>
        </w:rPr>
      </w:pPr>
      <w:r>
        <w:rPr>
          <w:rFonts w:ascii="黑体" w:eastAsia="黑体" w:hAnsi="黑体" w:hint="eastAsia"/>
          <w:sz w:val="32"/>
          <w:szCs w:val="32"/>
        </w:rPr>
        <w:lastRenderedPageBreak/>
        <w:t>第二十四条</w:t>
      </w:r>
      <w:r>
        <w:rPr>
          <w:rFonts w:ascii="仿宋_GB2312" w:eastAsia="仿宋_GB2312" w:hint="eastAsia"/>
          <w:sz w:val="32"/>
          <w:szCs w:val="32"/>
        </w:rPr>
        <w:t xml:space="preserve"> 运营方应坚持以老年人需求为导向，按照有关标准和要求，因地制宜为老年人提供日间照料、配餐送餐、长期托养等专业化养老服务。</w:t>
      </w:r>
    </w:p>
    <w:p w:rsidR="00BA10D0" w:rsidRDefault="00BA10D0" w:rsidP="00BA10D0">
      <w:pPr>
        <w:pStyle w:val="a3"/>
        <w:spacing w:before="0" w:beforeAutospacing="0" w:after="0" w:afterAutospacing="0" w:line="600" w:lineRule="exact"/>
        <w:ind w:firstLine="645"/>
        <w:jc w:val="both"/>
        <w:rPr>
          <w:rFonts w:ascii="仿宋_GB2312" w:eastAsia="仿宋_GB2312"/>
          <w:sz w:val="32"/>
          <w:szCs w:val="32"/>
        </w:rPr>
      </w:pPr>
      <w:r>
        <w:rPr>
          <w:rFonts w:ascii="仿宋_GB2312" w:eastAsia="仿宋_GB2312" w:hint="eastAsia"/>
          <w:sz w:val="32"/>
          <w:szCs w:val="32"/>
        </w:rPr>
        <w:t xml:space="preserve"> </w:t>
      </w:r>
    </w:p>
    <w:p w:rsidR="00BA10D0" w:rsidRDefault="00BA10D0" w:rsidP="00BA10D0">
      <w:pPr>
        <w:pStyle w:val="a3"/>
        <w:spacing w:before="0" w:beforeAutospacing="0" w:after="0" w:afterAutospacing="0" w:line="600" w:lineRule="exact"/>
        <w:jc w:val="center"/>
        <w:rPr>
          <w:rFonts w:ascii="黑体" w:eastAsia="黑体" w:hAnsi="黑体"/>
          <w:sz w:val="32"/>
          <w:szCs w:val="32"/>
        </w:rPr>
      </w:pPr>
      <w:r>
        <w:rPr>
          <w:rFonts w:ascii="黑体" w:eastAsia="黑体" w:hAnsi="黑体" w:hint="eastAsia"/>
          <w:sz w:val="32"/>
          <w:szCs w:val="32"/>
        </w:rPr>
        <w:t>第五章  监  管</w:t>
      </w:r>
    </w:p>
    <w:p w:rsidR="00BA10D0" w:rsidRDefault="00BA10D0" w:rsidP="00BA10D0">
      <w:pPr>
        <w:pStyle w:val="a3"/>
        <w:spacing w:before="0" w:beforeAutospacing="0" w:after="0" w:afterAutospacing="0" w:line="600" w:lineRule="exact"/>
        <w:ind w:firstLine="645"/>
        <w:jc w:val="both"/>
        <w:rPr>
          <w:rFonts w:ascii="黑体" w:eastAsia="黑体" w:hAnsi="黑体"/>
          <w:sz w:val="32"/>
          <w:szCs w:val="32"/>
        </w:rPr>
      </w:pPr>
      <w:r>
        <w:rPr>
          <w:rFonts w:ascii="黑体" w:eastAsia="黑体" w:hAnsi="黑体" w:hint="eastAsia"/>
          <w:sz w:val="32"/>
          <w:szCs w:val="32"/>
        </w:rPr>
        <w:t xml:space="preserve"> </w:t>
      </w:r>
    </w:p>
    <w:p w:rsidR="00BA10D0" w:rsidRDefault="00BA10D0" w:rsidP="00BA10D0">
      <w:pPr>
        <w:spacing w:line="600" w:lineRule="exact"/>
        <w:ind w:firstLineChars="200" w:firstLine="640"/>
        <w:rPr>
          <w:rFonts w:ascii="仿宋_GB2312" w:eastAsia="仿宋_GB2312" w:hAnsi="宋体" w:cs="宋体"/>
          <w:color w:val="FF0000"/>
          <w:kern w:val="0"/>
          <w:sz w:val="32"/>
          <w:szCs w:val="32"/>
        </w:rPr>
      </w:pPr>
      <w:r>
        <w:rPr>
          <w:rFonts w:ascii="黑体" w:eastAsia="黑体" w:hAnsi="黑体" w:hint="eastAsia"/>
          <w:sz w:val="32"/>
          <w:szCs w:val="32"/>
        </w:rPr>
        <w:t>第二十五条</w:t>
      </w:r>
      <w:r>
        <w:rPr>
          <w:rFonts w:ascii="仿宋_GB2312" w:eastAsia="仿宋_GB2312" w:hint="eastAsia"/>
          <w:sz w:val="32"/>
          <w:szCs w:val="32"/>
        </w:rPr>
        <w:t xml:space="preserve"> 县级民政部门应当加强对社区养老服务设施运营和服务情况的监督检查，规范服务行为，提升服务质量，确保养老服务用途不改变。</w:t>
      </w:r>
      <w:r>
        <w:rPr>
          <w:rFonts w:ascii="仿宋_GB2312" w:eastAsia="仿宋_GB2312" w:hAnsi="宋体" w:cs="宋体" w:hint="eastAsia"/>
          <w:color w:val="FF0000"/>
          <w:kern w:val="0"/>
          <w:sz w:val="32"/>
          <w:szCs w:val="32"/>
        </w:rPr>
        <w:t xml:space="preserve"> </w:t>
      </w:r>
    </w:p>
    <w:p w:rsidR="00BA10D0" w:rsidRPr="00BA10D0" w:rsidRDefault="00BA10D0" w:rsidP="00BA10D0">
      <w:pPr>
        <w:spacing w:line="600" w:lineRule="exact"/>
        <w:ind w:firstLineChars="200" w:firstLine="640"/>
        <w:rPr>
          <w:rFonts w:ascii="仿宋_GB2312" w:eastAsia="仿宋_GB2312"/>
          <w:sz w:val="32"/>
          <w:szCs w:val="32"/>
        </w:rPr>
      </w:pPr>
      <w:r>
        <w:rPr>
          <w:rFonts w:ascii="黑体" w:eastAsia="黑体" w:hAnsi="黑体" w:cs="宋体" w:hint="eastAsia"/>
          <w:kern w:val="0"/>
          <w:sz w:val="32"/>
          <w:szCs w:val="32"/>
        </w:rPr>
        <w:t xml:space="preserve">第二十六条 </w:t>
      </w:r>
      <w:r w:rsidRPr="00BA10D0">
        <w:rPr>
          <w:rFonts w:ascii="仿宋_GB2312" w:eastAsia="仿宋_GB2312" w:hint="eastAsia"/>
          <w:sz w:val="32"/>
          <w:szCs w:val="32"/>
        </w:rPr>
        <w:t>未按照规定标准规划配置社区养老服务设施的</w:t>
      </w:r>
      <w:r>
        <w:rPr>
          <w:rFonts w:ascii="仿宋_GB2312" w:eastAsia="仿宋_GB2312" w:hint="eastAsia"/>
          <w:sz w:val="32"/>
          <w:szCs w:val="32"/>
        </w:rPr>
        <w:t>，依据《山东省养老服务条例》第七十二条规定进行</w:t>
      </w:r>
      <w:r w:rsidRPr="00BA10D0">
        <w:rPr>
          <w:rFonts w:ascii="仿宋_GB2312" w:eastAsia="仿宋_GB2312" w:hint="eastAsia"/>
          <w:sz w:val="32"/>
          <w:szCs w:val="32"/>
        </w:rPr>
        <w:t>处理</w:t>
      </w:r>
      <w:r>
        <w:rPr>
          <w:rFonts w:ascii="仿宋_GB2312" w:eastAsia="仿宋_GB2312" w:hint="eastAsia"/>
          <w:sz w:val="32"/>
          <w:szCs w:val="32"/>
        </w:rPr>
        <w:t>。</w:t>
      </w:r>
    </w:p>
    <w:p w:rsidR="00BA10D0" w:rsidRDefault="00BA10D0" w:rsidP="00BA10D0">
      <w:pPr>
        <w:spacing w:line="600" w:lineRule="exact"/>
        <w:ind w:firstLineChars="200" w:firstLine="640"/>
        <w:rPr>
          <w:rFonts w:ascii="仿宋_GB2312" w:eastAsia="仿宋_GB2312"/>
          <w:sz w:val="32"/>
          <w:szCs w:val="32"/>
        </w:rPr>
      </w:pPr>
      <w:r>
        <w:rPr>
          <w:rFonts w:ascii="黑体" w:eastAsia="黑体" w:hAnsi="黑体" w:cs="宋体" w:hint="eastAsia"/>
          <w:kern w:val="0"/>
          <w:sz w:val="32"/>
          <w:szCs w:val="32"/>
        </w:rPr>
        <w:t>第二十七条</w:t>
      </w:r>
      <w:r>
        <w:rPr>
          <w:rFonts w:ascii="仿宋_GB2312" w:eastAsia="仿宋_GB2312" w:hAnsi="宋体" w:cs="宋体" w:hint="eastAsia"/>
          <w:kern w:val="0"/>
          <w:sz w:val="32"/>
          <w:szCs w:val="32"/>
        </w:rPr>
        <w:t xml:space="preserve"> </w:t>
      </w:r>
      <w:r>
        <w:rPr>
          <w:rFonts w:ascii="仿宋_GB2312" w:eastAsia="仿宋_GB2312" w:hint="eastAsia"/>
          <w:sz w:val="32"/>
          <w:szCs w:val="32"/>
        </w:rPr>
        <w:t>建设单位未按照规定建设配套社区养老服务设施将城镇居住区建设项目交付使用的，或者未按照规定将配套社区养老服务设施以及有关建设资料全部无偿移交所在地县级民政部门的，由住房城乡建设部门或行政执法部门依据《山东省养老服务条例》第六十七条规定进行</w:t>
      </w:r>
      <w:r w:rsidRPr="00BA10D0">
        <w:rPr>
          <w:rFonts w:ascii="仿宋_GB2312" w:eastAsia="仿宋_GB2312" w:hint="eastAsia"/>
          <w:sz w:val="32"/>
          <w:szCs w:val="32"/>
        </w:rPr>
        <w:t>处理。</w:t>
      </w:r>
    </w:p>
    <w:p w:rsidR="00BA10D0" w:rsidRPr="00BA10D0" w:rsidRDefault="00BA10D0" w:rsidP="00BA10D0">
      <w:pPr>
        <w:spacing w:line="600" w:lineRule="exact"/>
        <w:ind w:firstLineChars="200" w:firstLine="640"/>
        <w:rPr>
          <w:rFonts w:ascii="仿宋_GB2312" w:eastAsia="仿宋_GB2312"/>
          <w:sz w:val="32"/>
          <w:szCs w:val="32"/>
        </w:rPr>
      </w:pPr>
      <w:r>
        <w:rPr>
          <w:rFonts w:ascii="黑体" w:eastAsia="黑体" w:hAnsi="黑体" w:hint="eastAsia"/>
          <w:sz w:val="32"/>
          <w:szCs w:val="32"/>
        </w:rPr>
        <w:t>第二十八条</w:t>
      </w:r>
      <w:r>
        <w:rPr>
          <w:rFonts w:ascii="仿宋_GB2312" w:eastAsia="仿宋_GB2312" w:hint="eastAsia"/>
          <w:sz w:val="32"/>
          <w:szCs w:val="32"/>
        </w:rPr>
        <w:t xml:space="preserve"> 任何单位和个人不得改变规划配建的社区养老服务设施使用性质，不得擅自出租、转让、抵押或挪作他用。对擅自改变配建社区养老服务设施使用性质的，</w:t>
      </w:r>
      <w:r w:rsidRPr="00BA10D0">
        <w:rPr>
          <w:rFonts w:ascii="仿宋_GB2312" w:eastAsia="仿宋_GB2312" w:hint="eastAsia"/>
          <w:sz w:val="32"/>
          <w:szCs w:val="32"/>
        </w:rPr>
        <w:t>由民政部门或行政执法部门依据《山东省养老服务条例》第六十八条规定进行处罚。</w:t>
      </w:r>
    </w:p>
    <w:p w:rsidR="00BA10D0" w:rsidRDefault="00BA10D0" w:rsidP="00BA10D0">
      <w:pPr>
        <w:spacing w:line="600" w:lineRule="exact"/>
        <w:jc w:val="center"/>
        <w:rPr>
          <w:rFonts w:ascii="黑体" w:eastAsia="黑体" w:hAnsi="黑体"/>
          <w:sz w:val="32"/>
          <w:szCs w:val="32"/>
        </w:rPr>
      </w:pPr>
    </w:p>
    <w:p w:rsidR="00BA10D0" w:rsidRDefault="00BA10D0" w:rsidP="00BA10D0">
      <w:pPr>
        <w:spacing w:line="600" w:lineRule="exact"/>
        <w:jc w:val="center"/>
        <w:rPr>
          <w:rFonts w:ascii="黑体" w:eastAsia="黑体" w:hAnsi="黑体"/>
          <w:sz w:val="32"/>
          <w:szCs w:val="32"/>
        </w:rPr>
      </w:pPr>
      <w:r>
        <w:rPr>
          <w:rFonts w:ascii="黑体" w:eastAsia="黑体" w:hAnsi="黑体" w:hint="eastAsia"/>
          <w:sz w:val="32"/>
          <w:szCs w:val="32"/>
        </w:rPr>
        <w:lastRenderedPageBreak/>
        <w:t>第六章  附  则</w:t>
      </w:r>
    </w:p>
    <w:p w:rsidR="00BA10D0" w:rsidRDefault="00BA10D0" w:rsidP="00BA10D0">
      <w:pPr>
        <w:spacing w:line="600" w:lineRule="exact"/>
        <w:jc w:val="center"/>
        <w:rPr>
          <w:rFonts w:ascii="黑体" w:eastAsia="黑体" w:hAnsi="黑体"/>
          <w:sz w:val="32"/>
          <w:szCs w:val="32"/>
        </w:rPr>
      </w:pPr>
      <w:r>
        <w:rPr>
          <w:rFonts w:ascii="黑体" w:eastAsia="黑体" w:hAnsi="黑体" w:hint="eastAsia"/>
          <w:sz w:val="32"/>
          <w:szCs w:val="32"/>
        </w:rPr>
        <w:t xml:space="preserve"> </w:t>
      </w:r>
    </w:p>
    <w:p w:rsidR="00BA10D0" w:rsidRDefault="00BA10D0" w:rsidP="00BA10D0">
      <w:pPr>
        <w:spacing w:line="600" w:lineRule="exact"/>
        <w:ind w:firstLineChars="200" w:firstLine="640"/>
        <w:rPr>
          <w:rFonts w:ascii="仿宋_GB2312" w:eastAsia="仿宋_GB2312"/>
          <w:sz w:val="32"/>
          <w:szCs w:val="32"/>
        </w:rPr>
      </w:pPr>
      <w:r>
        <w:rPr>
          <w:rFonts w:ascii="黑体" w:eastAsia="黑体" w:hAnsi="黑体" w:hint="eastAsia"/>
          <w:sz w:val="32"/>
          <w:szCs w:val="32"/>
        </w:rPr>
        <w:t>第二十九条</w:t>
      </w:r>
      <w:r>
        <w:rPr>
          <w:rFonts w:ascii="仿宋_GB2312" w:eastAsia="仿宋_GB2312" w:hint="eastAsia"/>
          <w:sz w:val="32"/>
          <w:szCs w:val="32"/>
        </w:rPr>
        <w:t xml:space="preserve"> 各市可依照本办法，制定具体实施细则。</w:t>
      </w:r>
    </w:p>
    <w:p w:rsidR="00BA10D0" w:rsidRDefault="00BA10D0" w:rsidP="00BA10D0">
      <w:pPr>
        <w:spacing w:line="600" w:lineRule="exact"/>
        <w:ind w:firstLineChars="200" w:firstLine="640"/>
        <w:rPr>
          <w:rFonts w:ascii="仿宋_GB2312" w:eastAsia="仿宋_GB2312"/>
          <w:sz w:val="32"/>
          <w:szCs w:val="32"/>
        </w:rPr>
      </w:pPr>
      <w:r>
        <w:rPr>
          <w:rFonts w:ascii="黑体" w:eastAsia="黑体" w:hAnsi="黑体" w:hint="eastAsia"/>
          <w:sz w:val="32"/>
          <w:szCs w:val="32"/>
        </w:rPr>
        <w:t>第三十条</w:t>
      </w:r>
      <w:r>
        <w:rPr>
          <w:rFonts w:ascii="仿宋_GB2312" w:eastAsia="仿宋_GB2312" w:hint="eastAsia"/>
          <w:sz w:val="32"/>
          <w:szCs w:val="32"/>
        </w:rPr>
        <w:t xml:space="preserve"> 本办法下发前已配建的社区养老服务设施，应按照本办法有关规定，做好设施移交、登记管理和使用等工作。</w:t>
      </w:r>
    </w:p>
    <w:p w:rsidR="00BA10D0" w:rsidRDefault="00BA10D0" w:rsidP="00BA10D0">
      <w:pPr>
        <w:spacing w:line="600" w:lineRule="exact"/>
        <w:ind w:firstLineChars="200" w:firstLine="640"/>
        <w:rPr>
          <w:rFonts w:ascii="仿宋_GB2312" w:eastAsia="仿宋_GB2312"/>
          <w:sz w:val="32"/>
          <w:szCs w:val="32"/>
        </w:rPr>
      </w:pPr>
      <w:r>
        <w:rPr>
          <w:rFonts w:ascii="黑体" w:eastAsia="黑体" w:hAnsi="黑体" w:hint="eastAsia"/>
          <w:sz w:val="32"/>
          <w:szCs w:val="32"/>
        </w:rPr>
        <w:t>第三十一条</w:t>
      </w:r>
      <w:r>
        <w:rPr>
          <w:rFonts w:ascii="仿宋_GB2312" w:eastAsia="仿宋_GB2312" w:hint="eastAsia"/>
          <w:sz w:val="32"/>
          <w:szCs w:val="32"/>
        </w:rPr>
        <w:t xml:space="preserve"> 本办法由山东省民政厅、山东省自然资源厅、山东省住房和城乡建设厅负责解释，自2021年  月  日起实施，有效期3年。</w:t>
      </w:r>
    </w:p>
    <w:p w:rsidR="00FB3FB9" w:rsidRPr="00BA10D0" w:rsidRDefault="00FB3FB9"/>
    <w:sectPr w:rsidR="00FB3FB9" w:rsidRPr="00BA10D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12AB" w:rsidRDefault="00FF12AB" w:rsidP="003E36EE">
      <w:r>
        <w:separator/>
      </w:r>
    </w:p>
  </w:endnote>
  <w:endnote w:type="continuationSeparator" w:id="0">
    <w:p w:rsidR="00FF12AB" w:rsidRDefault="00FF12AB" w:rsidP="003E3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12AB" w:rsidRDefault="00FF12AB" w:rsidP="003E36EE">
      <w:r>
        <w:separator/>
      </w:r>
    </w:p>
  </w:footnote>
  <w:footnote w:type="continuationSeparator" w:id="0">
    <w:p w:rsidR="00FF12AB" w:rsidRDefault="00FF12AB" w:rsidP="003E36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0D0"/>
    <w:rsid w:val="00335510"/>
    <w:rsid w:val="003E36EE"/>
    <w:rsid w:val="005A06AC"/>
    <w:rsid w:val="00BA10D0"/>
    <w:rsid w:val="00DD14EF"/>
    <w:rsid w:val="00E905CD"/>
    <w:rsid w:val="00FB3FB9"/>
    <w:rsid w:val="00FF12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455DA1-D836-4848-AEF4-4C30E3D8B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10D0"/>
    <w:pPr>
      <w:widowControl w:val="0"/>
      <w:jc w:val="both"/>
    </w:pPr>
    <w:rPr>
      <w:rFonts w:ascii="Calibri" w:eastAsia="宋体" w:hAnsi="Calibri"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A10D0"/>
    <w:pPr>
      <w:widowControl/>
      <w:spacing w:before="100" w:beforeAutospacing="1" w:after="100" w:afterAutospacing="1"/>
      <w:jc w:val="left"/>
    </w:pPr>
    <w:rPr>
      <w:rFonts w:ascii="宋体" w:hAnsi="宋体" w:cs="宋体"/>
      <w:kern w:val="0"/>
      <w:sz w:val="24"/>
      <w:szCs w:val="24"/>
    </w:rPr>
  </w:style>
  <w:style w:type="character" w:customStyle="1" w:styleId="15">
    <w:name w:val="15"/>
    <w:basedOn w:val="a0"/>
    <w:rsid w:val="00BA10D0"/>
    <w:rPr>
      <w:rFonts w:ascii="Calibri" w:hAnsi="Calibri" w:cs="Calibri" w:hint="default"/>
      <w:b/>
      <w:bCs/>
    </w:rPr>
  </w:style>
  <w:style w:type="paragraph" w:styleId="a4">
    <w:name w:val="Balloon Text"/>
    <w:basedOn w:val="a"/>
    <w:link w:val="Char"/>
    <w:uiPriority w:val="99"/>
    <w:semiHidden/>
    <w:unhideWhenUsed/>
    <w:rsid w:val="00E905CD"/>
    <w:rPr>
      <w:sz w:val="18"/>
      <w:szCs w:val="18"/>
    </w:rPr>
  </w:style>
  <w:style w:type="character" w:customStyle="1" w:styleId="Char">
    <w:name w:val="批注框文本 Char"/>
    <w:basedOn w:val="a0"/>
    <w:link w:val="a4"/>
    <w:uiPriority w:val="99"/>
    <w:semiHidden/>
    <w:rsid w:val="00E905CD"/>
    <w:rPr>
      <w:rFonts w:ascii="Calibri" w:eastAsia="宋体" w:hAnsi="Calibri" w:cs="Times New Roman"/>
      <w:sz w:val="18"/>
      <w:szCs w:val="18"/>
    </w:rPr>
  </w:style>
  <w:style w:type="paragraph" w:styleId="a5">
    <w:name w:val="header"/>
    <w:basedOn w:val="a"/>
    <w:link w:val="Char0"/>
    <w:uiPriority w:val="99"/>
    <w:unhideWhenUsed/>
    <w:rsid w:val="003E36EE"/>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3E36EE"/>
    <w:rPr>
      <w:rFonts w:ascii="Calibri" w:eastAsia="宋体" w:hAnsi="Calibri" w:cs="Times New Roman"/>
      <w:sz w:val="18"/>
      <w:szCs w:val="18"/>
    </w:rPr>
  </w:style>
  <w:style w:type="paragraph" w:styleId="a6">
    <w:name w:val="footer"/>
    <w:basedOn w:val="a"/>
    <w:link w:val="Char1"/>
    <w:uiPriority w:val="99"/>
    <w:unhideWhenUsed/>
    <w:rsid w:val="003E36EE"/>
    <w:pPr>
      <w:tabs>
        <w:tab w:val="center" w:pos="4153"/>
        <w:tab w:val="right" w:pos="8306"/>
      </w:tabs>
      <w:snapToGrid w:val="0"/>
      <w:jc w:val="left"/>
    </w:pPr>
    <w:rPr>
      <w:sz w:val="18"/>
      <w:szCs w:val="18"/>
    </w:rPr>
  </w:style>
  <w:style w:type="character" w:customStyle="1" w:styleId="Char1">
    <w:name w:val="页脚 Char"/>
    <w:basedOn w:val="a0"/>
    <w:link w:val="a6"/>
    <w:uiPriority w:val="99"/>
    <w:rsid w:val="003E36EE"/>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1396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8</Pages>
  <Words>521</Words>
  <Characters>2976</Characters>
  <Application>Microsoft Office Word</Application>
  <DocSecurity>0</DocSecurity>
  <Lines>24</Lines>
  <Paragraphs>6</Paragraphs>
  <ScaleCrop>false</ScaleCrop>
  <Company>神州网信技术有限公司</Company>
  <LinksUpToDate>false</LinksUpToDate>
  <CharactersWithSpaces>3491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MZT</cp:lastModifiedBy>
  <cp:revision>3</cp:revision>
  <cp:lastPrinted>2021-08-05T07:39:00Z</cp:lastPrinted>
  <dcterms:created xsi:type="dcterms:W3CDTF">2021-08-05T07:19:00Z</dcterms:created>
  <dcterms:modified xsi:type="dcterms:W3CDTF">2021-08-05T08:39:00Z</dcterms:modified>
</cp:coreProperties>
</file>