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tabs>
          <w:tab w:val="left" w:pos="489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kern w:val="44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44"/>
          <w:sz w:val="44"/>
          <w:szCs w:val="44"/>
          <w:lang w:eastAsia="zh-CN"/>
        </w:rPr>
        <w:tab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kern w:val="44"/>
          <w:sz w:val="44"/>
          <w:szCs w:val="44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44"/>
          <w:sz w:val="44"/>
          <w:szCs w:val="44"/>
        </w:rPr>
        <w:t>大救助体系织密兜牢基本民生保障底网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楷体" w:hAnsi="楷体" w:eastAsia="楷体" w:cs="楷体"/>
          <w:color w:val="000000" w:themeColor="text1"/>
        </w:rPr>
      </w:pPr>
      <w:r>
        <w:rPr>
          <w:rFonts w:hint="eastAsia" w:ascii="楷体" w:hAnsi="楷体" w:eastAsia="楷体" w:cs="楷体"/>
          <w:color w:val="000000" w:themeColor="text1"/>
        </w:rPr>
        <w:t>德州市民政局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1"/>
        <w:textAlignment w:val="auto"/>
        <w:rPr>
          <w:rFonts w:hint="eastAsia" w:ascii="仿宋_GB2312" w:hAnsi="仿宋_GB2312" w:eastAsia="仿宋_GB2312" w:cs="仿宋_GB2312"/>
          <w:b/>
          <w:color w:val="000000" w:themeColor="text1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1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德州市着眼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打赢脱贫攻坚战与巩固脱贫成果，构建解决相对贫困的长效机制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</w:rPr>
        <w:t>2020年5月，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市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县两级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全面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成立以党政主要领导为“双组长”的工作专班，在全市范围全面启动社会大救助体系建设工作。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1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主要做法：</w:t>
      </w:r>
      <w:r>
        <w:rPr>
          <w:rFonts w:hint="eastAsia" w:ascii="黑体" w:hAnsi="黑体" w:eastAsia="黑体" w:cs="黑体"/>
          <w:bCs/>
          <w:color w:val="000000" w:themeColor="text1"/>
          <w:szCs w:val="32"/>
        </w:rPr>
        <w:t>一</w:t>
      </w:r>
      <w:r>
        <w:rPr>
          <w:rFonts w:hint="eastAsia" w:ascii="黑体" w:hAnsi="黑体" w:eastAsia="黑体" w:cs="黑体"/>
          <w:bCs/>
          <w:color w:val="000000" w:themeColor="text1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改革完善救助制度。全面梳理18个救助职能部门的43项政策，打通各类救助政策壁垒，实现了“蜂巢式”救助向“莲藕式”救助的转变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将保险和福利政策按照自愿原则纳入社会大救助综合服务新平台，全部进行流程再造，打通政府与社会救助资源共享通道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引导和支持慈善组织、社会志愿者、各类救助平台等社会力量高效有序参与社会救助工作。</w:t>
      </w:r>
      <w:r>
        <w:rPr>
          <w:rFonts w:hint="eastAsia" w:ascii="黑体" w:hAnsi="黑体" w:eastAsia="黑体" w:cs="黑体"/>
          <w:bCs/>
          <w:color w:val="000000" w:themeColor="text1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全面整合救助资源。对纳入平台的救助政策及其执行流程进行梳理，按照“乡镇审批是常态，县级审批是例外”的原则下放审批权限，将各项救助审批时限大幅压缩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以信息技术为手段，打造“一网三平台”，即德州市社会大救助综合服务新平台、居民家庭经济状况核对平台、依托12345市民热线建立的呼叫平台以及社会救助综合信息网，实现“一网三平台”实时对接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在市、县和134个乡镇、8155个村（社区）设立救助网点，前台统一受理，后台部门在线审批。市、县、乡、村四级救助网点均可办理业务，求助群众可就近异地申报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市、县两级全部建立社会大救助中心，乡镇（街道）全部设置工作站，村（居）按实际需要设置服务站。11个县市区核定编制135名，配备工作人员101人，乡镇（街道）配备专职工作人员474人、社会公益岗人员328人、专职村级协理员7584人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通过</w:t>
      </w:r>
      <w:r>
        <w:rPr>
          <w:rFonts w:hint="default" w:hAnsi="仿宋_GB2312" w:cs="仿宋_GB2312"/>
          <w:bCs/>
          <w:color w:val="000000" w:themeColor="text1"/>
          <w:szCs w:val="32"/>
          <w:woUserID w:val="1"/>
        </w:rPr>
        <w:t>社会大救助信息网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公开发布社会救助信息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利用德州信用信息平台建立失信惩戒数据库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建立社会大救助监督考核制度，全力保障体系运行。</w:t>
      </w:r>
      <w:r>
        <w:rPr>
          <w:rFonts w:hint="eastAsia" w:ascii="黑体" w:hAnsi="黑体" w:eastAsia="黑体" w:cs="黑体"/>
          <w:bCs/>
          <w:color w:val="000000" w:themeColor="text1"/>
          <w:szCs w:val="32"/>
        </w:rPr>
        <w:t>三</w:t>
      </w:r>
      <w:r>
        <w:rPr>
          <w:rFonts w:hint="eastAsia" w:ascii="黑体" w:hAnsi="黑体" w:eastAsia="黑体" w:cs="黑体"/>
          <w:bCs/>
          <w:color w:val="000000" w:themeColor="text1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建立解决相对贫困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机制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。建立基础数据库和救助成果库，设置贫困指数，按照指数排序和相应的政策标准确定救助对象并进行救助，实现了系统主动提醒、转办时人工推送、救助时按库取单</w:t>
      </w:r>
      <w:r>
        <w:rPr>
          <w:rFonts w:hint="eastAsia" w:hAnsi="仿宋_GB2312" w:cs="仿宋_GB2312"/>
          <w:bCs/>
          <w:color w:val="000000" w:themeColor="text1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同时</w:t>
      </w:r>
      <w:r>
        <w:rPr>
          <w:rFonts w:hint="eastAsia" w:hAnsi="仿宋_GB2312" w:cs="仿宋_GB2312"/>
          <w:bCs/>
          <w:color w:val="000000" w:themeColor="text1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村级协理员协助做好人工发现应救助困难群众，及时录入系统并推送至相关部门进行救助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建立特别困难群众“一事一议”制度，适当提高救助额度，实施叠加救助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探索“物质+服务”救助模式，逐步通过政府购买服务对社会救助家庭中生活不能自理的老年人、未成年人、残疾人等提供探访照料服务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>通过大数据分析，对困难群众“两不愁、三保障”问题实时预警，实现应救尽救、有效保障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</w:rPr>
        <w:t xml:space="preserve">针对相对贫困人口脱贫动力能力不足等问题，由大数据平台推送相关信息，根据信息提示，结合动力能力提升路径指引，实施精准帮扶。同时，建立多次适岗介绍不就业惩戒机制，引导贫困人口在参与劳动中激发内生动力，构建解决相对贫困长效机制。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1191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汉仪仿宋KW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汉仪楷体KW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8426"/>
      </w:tabs>
      <w:jc w:val="left"/>
      <w:rPr>
        <w:rFonts w:asciiTheme="minorEastAsia" w:hAnsiTheme="minorEastAsia" w:eastAsia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WAAAAZHJzL1BLAQIU&#10;ABQAAAAIAIdO4kDOqXm5zwAAAAUBAAAPAAAAAAAAAAEAIAAAADgAAABkcnMvZG93bnJldi54bWxQ&#10;SwECFAAUAAAACACHTuJAXbvBIrEBAABOAwAADgAAAAAAAAABACAAAAA0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WAAAAZHJzL1BLAQIU&#10;ABQAAAAIAIdO4kDOqXm5zwAAAAUBAAAPAAAAAAAAAAEAIAAAADgAAABkcnMvZG93bnJldi54bWxQ&#10;SwECFAAUAAAACACHTuJArYKv+LEBAABOAwAADgAAAAAAAAABACAAAAA0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60F"/>
    <w:rsid w:val="00022448"/>
    <w:rsid w:val="00042A8B"/>
    <w:rsid w:val="000439B8"/>
    <w:rsid w:val="00050252"/>
    <w:rsid w:val="000709DF"/>
    <w:rsid w:val="000D56DD"/>
    <w:rsid w:val="0011257B"/>
    <w:rsid w:val="001357BB"/>
    <w:rsid w:val="00140F39"/>
    <w:rsid w:val="00167583"/>
    <w:rsid w:val="00184AD6"/>
    <w:rsid w:val="00197CB5"/>
    <w:rsid w:val="001A57F2"/>
    <w:rsid w:val="001D2761"/>
    <w:rsid w:val="001E357B"/>
    <w:rsid w:val="001E3F8E"/>
    <w:rsid w:val="00212C26"/>
    <w:rsid w:val="00237761"/>
    <w:rsid w:val="00244485"/>
    <w:rsid w:val="00297EC5"/>
    <w:rsid w:val="002B6211"/>
    <w:rsid w:val="002C0806"/>
    <w:rsid w:val="002C584A"/>
    <w:rsid w:val="002D16CB"/>
    <w:rsid w:val="002F287E"/>
    <w:rsid w:val="0034291E"/>
    <w:rsid w:val="003620FF"/>
    <w:rsid w:val="0037546B"/>
    <w:rsid w:val="00382B56"/>
    <w:rsid w:val="00384E5E"/>
    <w:rsid w:val="003A501A"/>
    <w:rsid w:val="003C63D2"/>
    <w:rsid w:val="003E0C5D"/>
    <w:rsid w:val="003F5182"/>
    <w:rsid w:val="0040660F"/>
    <w:rsid w:val="00460366"/>
    <w:rsid w:val="004671C7"/>
    <w:rsid w:val="00495413"/>
    <w:rsid w:val="004E3B56"/>
    <w:rsid w:val="0050249A"/>
    <w:rsid w:val="00533C88"/>
    <w:rsid w:val="00540AB2"/>
    <w:rsid w:val="00593B16"/>
    <w:rsid w:val="005C1FEB"/>
    <w:rsid w:val="005D303C"/>
    <w:rsid w:val="005F2437"/>
    <w:rsid w:val="005F7FB3"/>
    <w:rsid w:val="006146B9"/>
    <w:rsid w:val="00643472"/>
    <w:rsid w:val="006658A8"/>
    <w:rsid w:val="00675A4E"/>
    <w:rsid w:val="00684AB1"/>
    <w:rsid w:val="00703CD3"/>
    <w:rsid w:val="007059B0"/>
    <w:rsid w:val="00722C1C"/>
    <w:rsid w:val="00741B0E"/>
    <w:rsid w:val="00745887"/>
    <w:rsid w:val="00774A1E"/>
    <w:rsid w:val="007F126C"/>
    <w:rsid w:val="00836E1B"/>
    <w:rsid w:val="00841619"/>
    <w:rsid w:val="00892BF5"/>
    <w:rsid w:val="008B64A8"/>
    <w:rsid w:val="008E1AD4"/>
    <w:rsid w:val="008F473E"/>
    <w:rsid w:val="008F579B"/>
    <w:rsid w:val="009340A1"/>
    <w:rsid w:val="009665FE"/>
    <w:rsid w:val="0097132E"/>
    <w:rsid w:val="009919C1"/>
    <w:rsid w:val="009B1575"/>
    <w:rsid w:val="009F56BF"/>
    <w:rsid w:val="00A1107B"/>
    <w:rsid w:val="00A31037"/>
    <w:rsid w:val="00A40EBC"/>
    <w:rsid w:val="00A50C2D"/>
    <w:rsid w:val="00A77E0C"/>
    <w:rsid w:val="00A92390"/>
    <w:rsid w:val="00AA16D6"/>
    <w:rsid w:val="00AD1441"/>
    <w:rsid w:val="00AD388E"/>
    <w:rsid w:val="00AE3DA3"/>
    <w:rsid w:val="00B65370"/>
    <w:rsid w:val="00B72D9B"/>
    <w:rsid w:val="00B77155"/>
    <w:rsid w:val="00BA01B2"/>
    <w:rsid w:val="00BA46C4"/>
    <w:rsid w:val="00BB1CD7"/>
    <w:rsid w:val="00C172B7"/>
    <w:rsid w:val="00C24C7D"/>
    <w:rsid w:val="00C30DC4"/>
    <w:rsid w:val="00C51394"/>
    <w:rsid w:val="00C62178"/>
    <w:rsid w:val="00C91DF0"/>
    <w:rsid w:val="00CC5208"/>
    <w:rsid w:val="00D4055B"/>
    <w:rsid w:val="00D45BFF"/>
    <w:rsid w:val="00D61AB1"/>
    <w:rsid w:val="00D96942"/>
    <w:rsid w:val="00DC30C8"/>
    <w:rsid w:val="00DC57E6"/>
    <w:rsid w:val="00DE3A72"/>
    <w:rsid w:val="00DF7149"/>
    <w:rsid w:val="00E05AE6"/>
    <w:rsid w:val="00E14B82"/>
    <w:rsid w:val="00E56223"/>
    <w:rsid w:val="00E610B3"/>
    <w:rsid w:val="00EC080C"/>
    <w:rsid w:val="00ED45FA"/>
    <w:rsid w:val="00EF4367"/>
    <w:rsid w:val="00F0095A"/>
    <w:rsid w:val="00F40474"/>
    <w:rsid w:val="00F54C68"/>
    <w:rsid w:val="00FC1E68"/>
    <w:rsid w:val="00FC7C3D"/>
    <w:rsid w:val="0C6D10D2"/>
    <w:rsid w:val="28F947B6"/>
    <w:rsid w:val="2B0F1518"/>
    <w:rsid w:val="30E94E2D"/>
    <w:rsid w:val="37F81888"/>
    <w:rsid w:val="4FE77B18"/>
    <w:rsid w:val="58934F72"/>
    <w:rsid w:val="73FD4B4E"/>
    <w:rsid w:val="79BC4490"/>
    <w:rsid w:val="7F4908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90" w:lineRule="exact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jc w:val="center"/>
      <w:outlineLvl w:val="0"/>
    </w:pPr>
    <w:rPr>
      <w:rFonts w:ascii="方正小标宋简体" w:eastAsia="方正小标宋简体"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jc w:val="center"/>
      <w:outlineLvl w:val="1"/>
    </w:pPr>
    <w:rPr>
      <w:rFonts w:ascii="楷体_GB2312" w:eastAsia="楷体_GB2312" w:hAnsiTheme="majorHAnsi" w:cstheme="majorBidi"/>
      <w:bCs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ind w:firstLine="641"/>
      <w:outlineLvl w:val="2"/>
    </w:pPr>
    <w:rPr>
      <w:rFonts w:ascii="黑体" w:eastAsia="黑体"/>
      <w:bCs/>
      <w:szCs w:val="32"/>
    </w:rPr>
  </w:style>
  <w:style w:type="paragraph" w:styleId="5">
    <w:name w:val="heading 4"/>
    <w:basedOn w:val="1"/>
    <w:next w:val="1"/>
    <w:link w:val="16"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标题 1 Char"/>
    <w:basedOn w:val="10"/>
    <w:link w:val="2"/>
    <w:qFormat/>
    <w:uiPriority w:val="9"/>
    <w:rPr>
      <w:rFonts w:ascii="方正小标宋简体" w:eastAsia="方正小标宋简体"/>
      <w:bCs/>
      <w:kern w:val="44"/>
      <w:sz w:val="44"/>
      <w:szCs w:val="44"/>
    </w:rPr>
  </w:style>
  <w:style w:type="character" w:customStyle="1" w:styleId="14">
    <w:name w:val="标题 2 Char"/>
    <w:basedOn w:val="10"/>
    <w:link w:val="3"/>
    <w:qFormat/>
    <w:uiPriority w:val="9"/>
    <w:rPr>
      <w:rFonts w:ascii="楷体_GB2312" w:eastAsia="楷体_GB2312" w:hAnsiTheme="majorHAnsi" w:cstheme="majorBidi"/>
      <w:bCs/>
      <w:sz w:val="32"/>
      <w:szCs w:val="32"/>
    </w:rPr>
  </w:style>
  <w:style w:type="character" w:customStyle="1" w:styleId="15">
    <w:name w:val="标题 3 Char"/>
    <w:basedOn w:val="10"/>
    <w:link w:val="4"/>
    <w:qFormat/>
    <w:uiPriority w:val="9"/>
    <w:rPr>
      <w:rFonts w:ascii="黑体" w:eastAsia="黑体"/>
      <w:bCs/>
      <w:sz w:val="32"/>
      <w:szCs w:val="32"/>
    </w:rPr>
  </w:style>
  <w:style w:type="character" w:customStyle="1" w:styleId="16">
    <w:name w:val="标题 4 Char"/>
    <w:basedOn w:val="10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7">
    <w:name w:val="NormalCharacter"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神州网信技术有限公司</Company>
  <Pages>3</Pages>
  <Words>218</Words>
  <Characters>1246</Characters>
  <Lines>10</Lines>
  <Paragraphs>2</Paragraphs>
  <TotalTime>22</TotalTime>
  <ScaleCrop>false</ScaleCrop>
  <LinksUpToDate>false</LinksUpToDate>
  <CharactersWithSpaces>1462</CharactersWithSpaces>
  <Application>WWO_aliyun_20201019112421-9bb9c296e6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2020-11-19T14:30:00Z</dcterms:created>
  <dc:creator>dell</dc:creator>
  <cp:lastModifiedBy>自由呼吸</cp:lastModifiedBy>
  <cp:lastPrinted>2021-01-05T08:57:00Z</cp:lastPrinted>
  <dcterms:modified xsi:type="dcterms:W3CDTF">2021-01-27T17:45:10Z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